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65" w:rsidRPr="00654165" w:rsidRDefault="00654165" w:rsidP="00654165">
      <w:pPr>
        <w:pStyle w:val="a3"/>
        <w:spacing w:after="0"/>
        <w:ind w:left="0"/>
        <w:rPr>
          <w:sz w:val="22"/>
          <w:szCs w:val="22"/>
          <w:lang w:val="uk-UA"/>
        </w:rPr>
      </w:pPr>
      <w:r w:rsidRPr="00654165">
        <w:rPr>
          <w:sz w:val="22"/>
          <w:szCs w:val="22"/>
        </w:rPr>
        <w:t>УДК</w:t>
      </w:r>
      <w:r w:rsidRPr="00654165">
        <w:rPr>
          <w:sz w:val="22"/>
          <w:szCs w:val="22"/>
          <w:lang w:val="uk-UA"/>
        </w:rPr>
        <w:t xml:space="preserve"> </w:t>
      </w:r>
      <w:r w:rsidRPr="00654165">
        <w:rPr>
          <w:sz w:val="22"/>
          <w:szCs w:val="22"/>
        </w:rPr>
        <w:t>331.</w:t>
      </w:r>
      <w:r w:rsidR="003A6D3E">
        <w:rPr>
          <w:sz w:val="22"/>
          <w:szCs w:val="22"/>
          <w:lang w:val="uk-UA"/>
        </w:rPr>
        <w:t>55</w:t>
      </w:r>
      <w:bookmarkStart w:id="0" w:name="_GoBack"/>
      <w:bookmarkEnd w:id="0"/>
    </w:p>
    <w:p w:rsidR="00654165" w:rsidRPr="00654165" w:rsidRDefault="00DF5AE8" w:rsidP="00654165">
      <w:pPr>
        <w:pStyle w:val="a3"/>
        <w:spacing w:after="0"/>
        <w:ind w:left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Гордійчук А.І., </w:t>
      </w:r>
      <w:proofErr w:type="spellStart"/>
      <w:r>
        <w:rPr>
          <w:sz w:val="22"/>
          <w:szCs w:val="22"/>
          <w:lang w:val="uk-UA"/>
        </w:rPr>
        <w:t>к</w:t>
      </w:r>
      <w:r w:rsidR="00654165" w:rsidRPr="00654165">
        <w:rPr>
          <w:sz w:val="22"/>
          <w:szCs w:val="22"/>
          <w:lang w:val="uk-UA"/>
        </w:rPr>
        <w:t>.е.н</w:t>
      </w:r>
      <w:proofErr w:type="spellEnd"/>
      <w:r w:rsidR="00654165" w:rsidRPr="00654165">
        <w:rPr>
          <w:sz w:val="22"/>
          <w:szCs w:val="22"/>
          <w:lang w:val="uk-UA"/>
        </w:rPr>
        <w:t xml:space="preserve">., </w:t>
      </w:r>
      <w:r>
        <w:rPr>
          <w:sz w:val="22"/>
          <w:szCs w:val="22"/>
          <w:lang w:val="uk-UA"/>
        </w:rPr>
        <w:t>доцент</w:t>
      </w:r>
    </w:p>
    <w:p w:rsidR="00654165" w:rsidRPr="00654165" w:rsidRDefault="00654165" w:rsidP="00654165">
      <w:pPr>
        <w:pStyle w:val="a3"/>
        <w:spacing w:after="0"/>
        <w:ind w:left="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Копера</w:t>
      </w:r>
      <w:proofErr w:type="spellEnd"/>
      <w:r>
        <w:rPr>
          <w:sz w:val="22"/>
          <w:szCs w:val="22"/>
          <w:lang w:val="uk-UA"/>
        </w:rPr>
        <w:t xml:space="preserve"> К.П</w:t>
      </w:r>
      <w:r w:rsidRPr="00654165">
        <w:rPr>
          <w:sz w:val="22"/>
          <w:szCs w:val="22"/>
          <w:lang w:val="uk-UA"/>
        </w:rPr>
        <w:t>., студент</w:t>
      </w:r>
      <w:r w:rsidRPr="00654165">
        <w:rPr>
          <w:sz w:val="22"/>
          <w:szCs w:val="22"/>
        </w:rPr>
        <w:t xml:space="preserve">ка </w:t>
      </w:r>
      <w:r w:rsidRPr="00654165">
        <w:rPr>
          <w:sz w:val="22"/>
          <w:szCs w:val="22"/>
          <w:lang w:val="uk-UA"/>
        </w:rPr>
        <w:t>магістратури</w:t>
      </w:r>
    </w:p>
    <w:p w:rsidR="00654165" w:rsidRDefault="00654165" w:rsidP="00654165">
      <w:pPr>
        <w:pStyle w:val="a3"/>
        <w:spacing w:after="0"/>
        <w:ind w:left="0"/>
        <w:rPr>
          <w:sz w:val="22"/>
          <w:szCs w:val="22"/>
          <w:lang w:val="uk-UA"/>
        </w:rPr>
      </w:pPr>
      <w:r w:rsidRPr="00654165">
        <w:rPr>
          <w:sz w:val="22"/>
          <w:szCs w:val="22"/>
          <w:lang w:val="uk-UA"/>
        </w:rPr>
        <w:t>Луцький національний технічний університет</w:t>
      </w:r>
    </w:p>
    <w:p w:rsidR="00F25A75" w:rsidRPr="00654165" w:rsidRDefault="00F25A75" w:rsidP="00654165">
      <w:pPr>
        <w:pStyle w:val="a3"/>
        <w:spacing w:after="0"/>
        <w:ind w:left="0"/>
        <w:rPr>
          <w:sz w:val="22"/>
          <w:szCs w:val="22"/>
          <w:lang w:val="uk-UA"/>
        </w:rPr>
      </w:pPr>
    </w:p>
    <w:p w:rsidR="009452F8" w:rsidRDefault="00F25A75" w:rsidP="00F25A75">
      <w:pPr>
        <w:jc w:val="center"/>
        <w:rPr>
          <w:rFonts w:ascii="Arial" w:hAnsi="Arial" w:cs="Arial"/>
          <w:b/>
          <w:lang w:val="uk-UA"/>
        </w:rPr>
      </w:pPr>
      <w:r w:rsidRPr="00F25A75">
        <w:rPr>
          <w:rFonts w:ascii="Arial" w:hAnsi="Arial" w:cs="Arial"/>
          <w:b/>
          <w:lang w:val="uk-UA"/>
        </w:rPr>
        <w:t>Шляхи регулювання мобільності робочої сили в Україні</w:t>
      </w:r>
    </w:p>
    <w:p w:rsidR="00F25A75" w:rsidRPr="00E072BD" w:rsidRDefault="00F25A75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 w:eastAsia="ko-KR"/>
        </w:rPr>
      </w:pPr>
      <w:r w:rsidRPr="00F25A75">
        <w:rPr>
          <w:rFonts w:ascii="Times New Roman" w:hAnsi="Times New Roman" w:cs="Times New Roman"/>
          <w:sz w:val="18"/>
          <w:szCs w:val="18"/>
          <w:lang w:val="uk-UA" w:eastAsia="ko-KR"/>
        </w:rPr>
        <w:t>У статті</w:t>
      </w:r>
      <w:r w:rsidR="00E072BD" w:rsidRPr="00E072BD">
        <w:rPr>
          <w:sz w:val="18"/>
          <w:szCs w:val="18"/>
          <w:lang w:val="uk-UA"/>
        </w:rPr>
        <w:t xml:space="preserve"> </w:t>
      </w:r>
      <w:r w:rsidRPr="00F25A75">
        <w:rPr>
          <w:rFonts w:ascii="Times New Roman" w:hAnsi="Times New Roman" w:cs="Times New Roman"/>
          <w:sz w:val="18"/>
          <w:szCs w:val="18"/>
          <w:lang w:val="uk-UA" w:eastAsia="ko-KR"/>
        </w:rPr>
        <w:t>вивчено тенденції зміни</w:t>
      </w:r>
      <w:r w:rsidR="00E072BD">
        <w:rPr>
          <w:rFonts w:ascii="Times New Roman" w:hAnsi="Times New Roman" w:cs="Times New Roman"/>
          <w:sz w:val="18"/>
          <w:szCs w:val="18"/>
          <w:lang w:val="uk-UA" w:eastAsia="ko-KR"/>
        </w:rPr>
        <w:t xml:space="preserve">, </w:t>
      </w:r>
      <w:r w:rsidR="00E072BD" w:rsidRPr="00E072BD">
        <w:rPr>
          <w:rFonts w:ascii="Times New Roman" w:hAnsi="Times New Roman" w:cs="Times New Roman"/>
          <w:sz w:val="18"/>
          <w:szCs w:val="18"/>
          <w:lang w:val="uk-UA"/>
        </w:rPr>
        <w:t>проведено оцінку стану</w:t>
      </w:r>
      <w:r w:rsidRPr="00F25A75">
        <w:rPr>
          <w:rFonts w:ascii="Times New Roman" w:hAnsi="Times New Roman" w:cs="Times New Roman"/>
          <w:sz w:val="18"/>
          <w:szCs w:val="18"/>
          <w:lang w:val="uk-UA" w:eastAsia="ko-KR"/>
        </w:rPr>
        <w:t xml:space="preserve"> та обґрунтовано напрями </w:t>
      </w:r>
      <w:r w:rsidR="00C32813">
        <w:rPr>
          <w:rFonts w:ascii="Times New Roman" w:hAnsi="Times New Roman" w:cs="Times New Roman"/>
          <w:sz w:val="18"/>
          <w:szCs w:val="18"/>
          <w:lang w:val="uk-UA" w:eastAsia="ko-KR"/>
        </w:rPr>
        <w:t xml:space="preserve">регулювання </w:t>
      </w:r>
      <w:r w:rsidR="00E072BD" w:rsidRPr="00E072BD">
        <w:rPr>
          <w:rFonts w:ascii="Times New Roman" w:hAnsi="Times New Roman" w:cs="Times New Roman"/>
          <w:sz w:val="18"/>
          <w:szCs w:val="18"/>
          <w:lang w:val="uk-UA"/>
        </w:rPr>
        <w:t>мобільності робочої сили в Україні</w:t>
      </w:r>
      <w:r w:rsidRPr="00E072BD">
        <w:rPr>
          <w:rFonts w:ascii="Times New Roman" w:hAnsi="Times New Roman" w:cs="Times New Roman"/>
          <w:sz w:val="18"/>
          <w:szCs w:val="18"/>
          <w:lang w:val="uk-UA" w:eastAsia="ko-KR"/>
        </w:rPr>
        <w:t>.</w:t>
      </w:r>
    </w:p>
    <w:p w:rsidR="00F25A75" w:rsidRDefault="00F25A75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25A75">
        <w:rPr>
          <w:rFonts w:ascii="Times New Roman" w:hAnsi="Times New Roman" w:cs="Times New Roman"/>
          <w:sz w:val="18"/>
          <w:szCs w:val="18"/>
          <w:lang w:val="uk-UA" w:eastAsia="ko-KR"/>
        </w:rPr>
        <w:t xml:space="preserve">Ключові слова: </w:t>
      </w:r>
      <w:r w:rsidR="00E072BD"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населення, </w:t>
      </w:r>
      <w:r w:rsidR="00C32813">
        <w:rPr>
          <w:rFonts w:ascii="Times New Roman" w:hAnsi="Times New Roman" w:cs="Times New Roman"/>
          <w:sz w:val="18"/>
          <w:szCs w:val="18"/>
          <w:lang w:val="uk-UA"/>
        </w:rPr>
        <w:t>робоча сила</w:t>
      </w:r>
      <w:r w:rsidR="00E072BD" w:rsidRPr="00E072BD">
        <w:rPr>
          <w:rFonts w:ascii="Times New Roman" w:hAnsi="Times New Roman" w:cs="Times New Roman"/>
          <w:sz w:val="18"/>
          <w:szCs w:val="18"/>
          <w:lang w:val="uk-UA"/>
        </w:rPr>
        <w:t>, мобільність робочої сили, трудова мобільність, ринок праці, міграція</w:t>
      </w:r>
      <w:r w:rsidR="00E072BD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072BD" w:rsidRDefault="00E072BD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072BD" w:rsidRPr="00E072BD" w:rsidRDefault="00C32813" w:rsidP="00E072B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DF5AE8" w:rsidRPr="00DF5AE8">
        <w:rPr>
          <w:rFonts w:ascii="Times New Roman" w:hAnsi="Times New Roman" w:cs="Times New Roman"/>
          <w:lang w:val="pl-PL"/>
        </w:rPr>
        <w:t>ordijchuk A</w:t>
      </w:r>
      <w:r w:rsidR="00DF5AE8">
        <w:rPr>
          <w:rFonts w:ascii="Times New Roman" w:hAnsi="Times New Roman" w:cs="Times New Roman"/>
          <w:lang w:val="uk-UA"/>
        </w:rPr>
        <w:t>.</w:t>
      </w:r>
      <w:r w:rsidR="00DF5AE8" w:rsidRPr="00DF5AE8">
        <w:rPr>
          <w:rFonts w:ascii="Times New Roman" w:hAnsi="Times New Roman" w:cs="Times New Roman"/>
          <w:lang w:val="pl-PL"/>
        </w:rPr>
        <w:t>I</w:t>
      </w:r>
      <w:r w:rsidR="00DF5AE8">
        <w:rPr>
          <w:rFonts w:ascii="Times New Roman" w:hAnsi="Times New Roman" w:cs="Times New Roman"/>
          <w:lang w:val="uk-UA"/>
        </w:rPr>
        <w:t>.</w:t>
      </w:r>
      <w:r w:rsidR="00E072BD" w:rsidRPr="00E072B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E072BD" w:rsidRPr="00E072BD">
        <w:rPr>
          <w:rFonts w:ascii="Times New Roman" w:eastAsia="MS Mincho" w:hAnsi="Times New Roman" w:cs="Times New Roman"/>
          <w:lang w:val="en-US"/>
        </w:rPr>
        <w:t>Kopera</w:t>
      </w:r>
      <w:proofErr w:type="spellEnd"/>
      <w:r w:rsidR="00E072BD" w:rsidRPr="00E072BD">
        <w:rPr>
          <w:rFonts w:ascii="Times New Roman" w:eastAsia="MS Mincho" w:hAnsi="Times New Roman" w:cs="Times New Roman"/>
          <w:lang w:val="en-US"/>
        </w:rPr>
        <w:t xml:space="preserve"> K.P.</w:t>
      </w:r>
    </w:p>
    <w:p w:rsidR="00E072BD" w:rsidRDefault="00E072BD" w:rsidP="00C3281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072BD">
        <w:rPr>
          <w:rFonts w:ascii="Arial" w:hAnsi="Arial" w:cs="Arial"/>
          <w:b/>
          <w:lang w:val="en-US"/>
        </w:rPr>
        <w:t>Ways to regulate labor mobility in Ukraine.</w:t>
      </w:r>
    </w:p>
    <w:p w:rsidR="00E072BD" w:rsidRDefault="00E072BD" w:rsidP="00E072BD">
      <w:pPr>
        <w:spacing w:after="0" w:line="240" w:lineRule="auto"/>
        <w:ind w:firstLine="567"/>
        <w:jc w:val="center"/>
        <w:rPr>
          <w:rFonts w:ascii="Arial" w:hAnsi="Arial" w:cs="Arial"/>
          <w:b/>
          <w:lang w:val="en-US"/>
        </w:rPr>
      </w:pPr>
    </w:p>
    <w:p w:rsidR="00E072BD" w:rsidRDefault="00E072BD" w:rsidP="00E07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The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purpose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of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the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study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is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to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improve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the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system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of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regulation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of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labor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mobility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in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Ukraine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in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the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face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of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economic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proofErr w:type="spellStart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instability</w:t>
      </w:r>
      <w:proofErr w:type="spellEnd"/>
      <w:r w:rsidRPr="00E072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.</w:t>
      </w:r>
    </w:p>
    <w:p w:rsidR="00E072BD" w:rsidRDefault="00E072BD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occupies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important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place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system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reproduction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resources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country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region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contributes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development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employment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population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Moreover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better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balanced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higher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country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key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concepts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Thanks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occupies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foremost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significant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positions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fact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important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creating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link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all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sectors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a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single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whole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-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country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modern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Ukraine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negative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reasons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affecting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are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determined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many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factors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including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dissatisfaction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with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wages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age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factor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education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inadequate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assessment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specific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human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capital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changes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employment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economic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decline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company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etc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field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formation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important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principle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find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optimal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combination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economic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social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outcomes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practice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means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that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all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measures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taken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government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stabilize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economy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must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pre-assessed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extent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their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impact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When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choosing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ways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reform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must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proceed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from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need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study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analyze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internal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patterns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one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basic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conditions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functioning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element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mobility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market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development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a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mechanism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that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regulates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dynamic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equilibrium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labor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supply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072BD">
        <w:rPr>
          <w:rFonts w:ascii="Times New Roman" w:hAnsi="Times New Roman" w:cs="Times New Roman"/>
          <w:sz w:val="18"/>
          <w:szCs w:val="18"/>
          <w:lang w:val="uk-UA"/>
        </w:rPr>
        <w:t>demand</w:t>
      </w:r>
      <w:proofErr w:type="spellEnd"/>
      <w:r w:rsidRPr="00E072BD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072BD" w:rsidRDefault="00E072BD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072BD">
        <w:rPr>
          <w:rFonts w:ascii="Times New Roman" w:hAnsi="Times New Roman" w:cs="Times New Roman"/>
          <w:sz w:val="18"/>
          <w:szCs w:val="18"/>
          <w:lang w:val="en-US"/>
        </w:rPr>
        <w:t>Keywords: population, mobility, labor mobility, labor mobility, labor force, labor market, migration, unemployment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E072BD" w:rsidRDefault="00E072BD" w:rsidP="00E0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75CE" w:rsidRPr="00EB50A2" w:rsidRDefault="001C75CE" w:rsidP="00E072B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C75CE" w:rsidRPr="00EB50A2" w:rsidRDefault="001C75CE" w:rsidP="00E072B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072BD" w:rsidRPr="00E072BD" w:rsidRDefault="00DF5AE8" w:rsidP="00E072B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Гордийчук</w:t>
      </w:r>
      <w:proofErr w:type="spellEnd"/>
      <w:r>
        <w:rPr>
          <w:rFonts w:ascii="Times New Roman" w:hAnsi="Times New Roman" w:cs="Times New Roman"/>
          <w:lang w:val="uk-UA"/>
        </w:rPr>
        <w:t xml:space="preserve"> А.И</w:t>
      </w:r>
      <w:r w:rsidR="00E072BD" w:rsidRPr="00E072BD">
        <w:rPr>
          <w:rFonts w:ascii="Times New Roman" w:hAnsi="Times New Roman" w:cs="Times New Roman"/>
        </w:rPr>
        <w:t xml:space="preserve">., </w:t>
      </w:r>
      <w:proofErr w:type="spellStart"/>
      <w:r w:rsidR="00E072BD" w:rsidRPr="00E072BD">
        <w:rPr>
          <w:rFonts w:ascii="Times New Roman" w:hAnsi="Times New Roman" w:cs="Times New Roman"/>
        </w:rPr>
        <w:t>Копера</w:t>
      </w:r>
      <w:proofErr w:type="spellEnd"/>
      <w:r w:rsidR="00E072BD" w:rsidRPr="00E072BD">
        <w:rPr>
          <w:rFonts w:ascii="Times New Roman" w:hAnsi="Times New Roman" w:cs="Times New Roman"/>
        </w:rPr>
        <w:t xml:space="preserve"> К.П.</w:t>
      </w:r>
    </w:p>
    <w:p w:rsidR="00E072BD" w:rsidRPr="00E072BD" w:rsidRDefault="00E072BD" w:rsidP="00E072BD">
      <w:pPr>
        <w:spacing w:after="0"/>
        <w:jc w:val="center"/>
        <w:rPr>
          <w:rFonts w:ascii="Arial" w:hAnsi="Arial" w:cs="Arial"/>
          <w:b/>
        </w:rPr>
      </w:pPr>
      <w:r w:rsidRPr="00E072BD">
        <w:rPr>
          <w:rFonts w:ascii="Arial" w:hAnsi="Arial" w:cs="Arial"/>
          <w:b/>
        </w:rPr>
        <w:t>Пути регулирования мобильности рабочей силы в Украине</w:t>
      </w:r>
    </w:p>
    <w:p w:rsidR="00E072BD" w:rsidRDefault="00E072BD" w:rsidP="00E072BD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  <w:lang w:val="uk-UA"/>
        </w:rPr>
      </w:pPr>
    </w:p>
    <w:p w:rsidR="00C32813" w:rsidRPr="00C32813" w:rsidRDefault="00C32813" w:rsidP="00C3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статье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изучен</w:t>
      </w:r>
      <w:r>
        <w:rPr>
          <w:rFonts w:ascii="Times New Roman" w:hAnsi="Times New Roman" w:cs="Times New Roman"/>
          <w:sz w:val="18"/>
          <w:szCs w:val="18"/>
          <w:lang w:val="uk-UA"/>
        </w:rPr>
        <w:t>ы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тенденции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изменения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, проведена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оценка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состояния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и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обоснованы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направления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регулирования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мобильности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рабочей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силы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в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Украине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1C75CE" w:rsidRDefault="00C32813" w:rsidP="00C3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Ключевые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слова: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население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рабочая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сила,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мобильность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рабочей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силы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трудовая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мобильность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рынок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 xml:space="preserve"> труда, </w:t>
      </w:r>
      <w:proofErr w:type="spellStart"/>
      <w:r w:rsidRPr="00C32813">
        <w:rPr>
          <w:rFonts w:ascii="Times New Roman" w:hAnsi="Times New Roman" w:cs="Times New Roman"/>
          <w:sz w:val="18"/>
          <w:szCs w:val="18"/>
          <w:lang w:val="uk-UA"/>
        </w:rPr>
        <w:t>миграция</w:t>
      </w:r>
      <w:proofErr w:type="spellEnd"/>
      <w:r w:rsidRPr="00C32813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1C75CE" w:rsidRDefault="001C75CE" w:rsidP="001C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C75CE" w:rsidRPr="001C75CE" w:rsidRDefault="001C75CE" w:rsidP="001C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C75CE">
        <w:rPr>
          <w:rFonts w:ascii="Times New Roman" w:hAnsi="Times New Roman" w:cs="Times New Roman"/>
          <w:b/>
        </w:rPr>
        <w:t xml:space="preserve">Постановка </w:t>
      </w:r>
      <w:proofErr w:type="spellStart"/>
      <w:r w:rsidRPr="001C75CE">
        <w:rPr>
          <w:rFonts w:ascii="Times New Roman" w:hAnsi="Times New Roman" w:cs="Times New Roman"/>
          <w:b/>
        </w:rPr>
        <w:t>проблеми</w:t>
      </w:r>
      <w:proofErr w:type="spellEnd"/>
      <w:r w:rsidRPr="001C75CE">
        <w:rPr>
          <w:rFonts w:ascii="Times New Roman" w:hAnsi="Times New Roman" w:cs="Times New Roman"/>
          <w:b/>
        </w:rPr>
        <w:t xml:space="preserve"> у </w:t>
      </w:r>
      <w:proofErr w:type="spellStart"/>
      <w:r w:rsidRPr="001C75CE">
        <w:rPr>
          <w:rFonts w:ascii="Times New Roman" w:hAnsi="Times New Roman" w:cs="Times New Roman"/>
          <w:b/>
        </w:rPr>
        <w:t>загальному</w:t>
      </w:r>
      <w:proofErr w:type="spellEnd"/>
      <w:r w:rsidRPr="001C75CE">
        <w:rPr>
          <w:rFonts w:ascii="Times New Roman" w:hAnsi="Times New Roman" w:cs="Times New Roman"/>
          <w:b/>
        </w:rPr>
        <w:t xml:space="preserve"> </w:t>
      </w:r>
      <w:proofErr w:type="spellStart"/>
      <w:r w:rsidRPr="001C75CE">
        <w:rPr>
          <w:rFonts w:ascii="Times New Roman" w:hAnsi="Times New Roman" w:cs="Times New Roman"/>
          <w:b/>
        </w:rPr>
        <w:t>вигляді</w:t>
      </w:r>
      <w:proofErr w:type="spellEnd"/>
      <w:r w:rsidRPr="001C75CE">
        <w:rPr>
          <w:rFonts w:ascii="Times New Roman" w:hAnsi="Times New Roman" w:cs="Times New Roman"/>
          <w:b/>
        </w:rPr>
        <w:t xml:space="preserve"> і </w:t>
      </w:r>
      <w:proofErr w:type="spellStart"/>
      <w:r w:rsidRPr="001C75CE">
        <w:rPr>
          <w:rFonts w:ascii="Times New Roman" w:hAnsi="Times New Roman" w:cs="Times New Roman"/>
          <w:b/>
        </w:rPr>
        <w:t>її</w:t>
      </w:r>
      <w:proofErr w:type="spellEnd"/>
      <w:r w:rsidRPr="001C75CE">
        <w:rPr>
          <w:rFonts w:ascii="Times New Roman" w:hAnsi="Times New Roman" w:cs="Times New Roman"/>
          <w:b/>
        </w:rPr>
        <w:t xml:space="preserve"> </w:t>
      </w:r>
      <w:proofErr w:type="spellStart"/>
      <w:r w:rsidRPr="001C75CE">
        <w:rPr>
          <w:rFonts w:ascii="Times New Roman" w:hAnsi="Times New Roman" w:cs="Times New Roman"/>
          <w:b/>
        </w:rPr>
        <w:t>зв’язок</w:t>
      </w:r>
      <w:proofErr w:type="spellEnd"/>
      <w:r w:rsidRPr="001C75CE">
        <w:rPr>
          <w:rFonts w:ascii="Times New Roman" w:hAnsi="Times New Roman" w:cs="Times New Roman"/>
          <w:b/>
        </w:rPr>
        <w:t xml:space="preserve"> з </w:t>
      </w:r>
      <w:proofErr w:type="spellStart"/>
      <w:r w:rsidRPr="001C75CE">
        <w:rPr>
          <w:rFonts w:ascii="Times New Roman" w:hAnsi="Times New Roman" w:cs="Times New Roman"/>
          <w:b/>
        </w:rPr>
        <w:t>важливими</w:t>
      </w:r>
      <w:proofErr w:type="spellEnd"/>
      <w:r w:rsidRPr="001C75CE">
        <w:rPr>
          <w:rFonts w:ascii="Times New Roman" w:hAnsi="Times New Roman" w:cs="Times New Roman"/>
          <w:b/>
        </w:rPr>
        <w:t xml:space="preserve"> </w:t>
      </w:r>
      <w:proofErr w:type="spellStart"/>
      <w:r w:rsidRPr="001C75CE">
        <w:rPr>
          <w:rFonts w:ascii="Times New Roman" w:hAnsi="Times New Roman" w:cs="Times New Roman"/>
          <w:b/>
        </w:rPr>
        <w:t>науковими</w:t>
      </w:r>
      <w:proofErr w:type="spellEnd"/>
      <w:r w:rsidRPr="001C75CE">
        <w:rPr>
          <w:rFonts w:ascii="Times New Roman" w:hAnsi="Times New Roman" w:cs="Times New Roman"/>
          <w:b/>
        </w:rPr>
        <w:t xml:space="preserve"> та </w:t>
      </w:r>
      <w:proofErr w:type="spellStart"/>
      <w:r w:rsidRPr="001C75CE">
        <w:rPr>
          <w:rFonts w:ascii="Times New Roman" w:hAnsi="Times New Roman" w:cs="Times New Roman"/>
          <w:b/>
        </w:rPr>
        <w:t>практичними</w:t>
      </w:r>
      <w:proofErr w:type="spellEnd"/>
      <w:r w:rsidRPr="001C75CE">
        <w:rPr>
          <w:rFonts w:ascii="Times New Roman" w:hAnsi="Times New Roman" w:cs="Times New Roman"/>
          <w:b/>
        </w:rPr>
        <w:t xml:space="preserve"> </w:t>
      </w:r>
      <w:proofErr w:type="spellStart"/>
      <w:r w:rsidRPr="001C75CE">
        <w:rPr>
          <w:rFonts w:ascii="Times New Roman" w:hAnsi="Times New Roman" w:cs="Times New Roman"/>
          <w:b/>
        </w:rPr>
        <w:t>завданнями</w:t>
      </w:r>
      <w:proofErr w:type="spellEnd"/>
      <w:r w:rsidRPr="001C75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C75CE">
        <w:rPr>
          <w:rFonts w:ascii="Times New Roman" w:hAnsi="Times New Roman" w:cs="Times New Roman"/>
          <w:shd w:val="clear" w:color="auto" w:fill="FFFFFF"/>
          <w:lang w:val="uk-UA"/>
        </w:rPr>
        <w:t>Найважливішим фактором, що відображає стан зайнятості всіх соціально-демографічних груп, є ступінь її мобільності, що відображає готовність та здатність населення змінювати соціальний статус, професійну приналежність та місце проживання. Мобільність визначається потребами економіки в праці певного змісту та робочих місць, а також здатністю та готовністю особистості змінювати істотні характеристики роботи.</w:t>
      </w:r>
    </w:p>
    <w:p w:rsidR="001C75CE" w:rsidRPr="001C75CE" w:rsidRDefault="001C75CE" w:rsidP="001C75C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C75CE">
        <w:rPr>
          <w:rFonts w:ascii="Times New Roman" w:hAnsi="Times New Roman" w:cs="Times New Roman"/>
          <w:lang w:val="uk-UA"/>
        </w:rPr>
        <w:t xml:space="preserve">На ринку праці мобільність робочої сили є одним з ключових понять економіки. Завдяки мобільності робочої сили ринок праці займає одну з головних, значних позицій в економіці. </w:t>
      </w:r>
      <w:r w:rsidRPr="001C75CE">
        <w:rPr>
          <w:rFonts w:ascii="Times New Roman" w:eastAsia="TimesNewRomanPSMT" w:hAnsi="Times New Roman" w:cs="Times New Roman"/>
        </w:rPr>
        <w:t xml:space="preserve">Вона, по </w:t>
      </w:r>
      <w:proofErr w:type="spellStart"/>
      <w:r w:rsidRPr="001C75CE">
        <w:rPr>
          <w:rFonts w:ascii="Times New Roman" w:eastAsia="TimesNewRomanPSMT" w:hAnsi="Times New Roman" w:cs="Times New Roman"/>
        </w:rPr>
        <w:t>суті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C75CE">
        <w:rPr>
          <w:rFonts w:ascii="Times New Roman" w:eastAsia="TimesNewRomanPSMT" w:hAnsi="Times New Roman" w:cs="Times New Roman"/>
        </w:rPr>
        <w:t>виступає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важливим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C75CE">
        <w:rPr>
          <w:rFonts w:ascii="Times New Roman" w:eastAsia="TimesNewRomanPSMT" w:hAnsi="Times New Roman" w:cs="Times New Roman"/>
        </w:rPr>
        <w:t>що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створює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ланкою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всіх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галузей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господарства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1C75CE">
        <w:rPr>
          <w:rFonts w:ascii="Times New Roman" w:eastAsia="TimesNewRomanPSMT" w:hAnsi="Times New Roman" w:cs="Times New Roman"/>
        </w:rPr>
        <w:t>єдине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ціле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– </w:t>
      </w:r>
      <w:proofErr w:type="spellStart"/>
      <w:r w:rsidRPr="001C75CE">
        <w:rPr>
          <w:rFonts w:ascii="Times New Roman" w:eastAsia="TimesNewRomanPSMT" w:hAnsi="Times New Roman" w:cs="Times New Roman"/>
        </w:rPr>
        <w:t>економіку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країни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. Очевидно, </w:t>
      </w:r>
      <w:proofErr w:type="spellStart"/>
      <w:r w:rsidRPr="001C75CE">
        <w:rPr>
          <w:rFonts w:ascii="Times New Roman" w:eastAsia="TimesNewRomanPSMT" w:hAnsi="Times New Roman" w:cs="Times New Roman"/>
        </w:rPr>
        <w:t>що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рух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трудових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ресурсів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– </w:t>
      </w:r>
      <w:proofErr w:type="spellStart"/>
      <w:r w:rsidRPr="001C75CE">
        <w:rPr>
          <w:rFonts w:ascii="Times New Roman" w:eastAsia="TimesNewRomanPSMT" w:hAnsi="Times New Roman" w:cs="Times New Roman"/>
        </w:rPr>
        <w:t>це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складний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соціально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економічний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C75CE">
        <w:rPr>
          <w:rFonts w:ascii="Times New Roman" w:eastAsia="TimesNewRomanPSMT" w:hAnsi="Times New Roman" w:cs="Times New Roman"/>
        </w:rPr>
        <w:t>демографічний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процес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зміни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кількісних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та </w:t>
      </w:r>
      <w:proofErr w:type="spellStart"/>
      <w:r w:rsidRPr="001C75CE">
        <w:rPr>
          <w:rFonts w:ascii="Times New Roman" w:eastAsia="TimesNewRomanPSMT" w:hAnsi="Times New Roman" w:cs="Times New Roman"/>
        </w:rPr>
        <w:t>якісних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характеристик </w:t>
      </w:r>
      <w:proofErr w:type="spellStart"/>
      <w:r w:rsidRPr="001C75CE">
        <w:rPr>
          <w:rFonts w:ascii="Times New Roman" w:eastAsia="TimesNewRomanPSMT" w:hAnsi="Times New Roman" w:cs="Times New Roman"/>
        </w:rPr>
        <w:t>частини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C75CE">
        <w:rPr>
          <w:rFonts w:ascii="Times New Roman" w:eastAsia="TimesNewRomanPSMT" w:hAnsi="Times New Roman" w:cs="Times New Roman"/>
        </w:rPr>
        <w:t>населення</w:t>
      </w:r>
      <w:proofErr w:type="spellEnd"/>
      <w:r w:rsidRPr="001C75CE">
        <w:rPr>
          <w:rFonts w:ascii="Times New Roman" w:eastAsia="TimesNewRomanPSMT" w:hAnsi="Times New Roman" w:cs="Times New Roman"/>
        </w:rPr>
        <w:t xml:space="preserve">, </w:t>
      </w:r>
      <w:r w:rsidRPr="001C75CE">
        <w:rPr>
          <w:rFonts w:ascii="Times New Roman" w:hAnsi="Times New Roman" w:cs="Times New Roman"/>
          <w:lang w:val="uk-UA"/>
        </w:rPr>
        <w:t>яка виступає носієм праці</w:t>
      </w:r>
      <w:r w:rsidRPr="001C75CE">
        <w:rPr>
          <w:rFonts w:ascii="Times New Roman" w:eastAsia="TimesNewRomanPSMT" w:hAnsi="Times New Roman" w:cs="Times New Roman"/>
        </w:rPr>
        <w:t xml:space="preserve">. </w:t>
      </w:r>
    </w:p>
    <w:p w:rsidR="001C75CE" w:rsidRPr="00C32813" w:rsidRDefault="001C75CE" w:rsidP="001C75C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C75CE">
        <w:rPr>
          <w:rFonts w:ascii="Times New Roman" w:hAnsi="Times New Roman" w:cs="Times New Roman"/>
          <w:b/>
          <w:lang w:val="uk-UA"/>
        </w:rPr>
        <w:t>Аналіз останніх досліджень, у яких започатковано вирішення проблеми.</w:t>
      </w:r>
      <w:r w:rsidR="00EB50A2" w:rsidRPr="00EB50A2">
        <w:rPr>
          <w:rFonts w:ascii="Times New Roman" w:hAnsi="Times New Roman" w:cs="Times New Roman"/>
        </w:rPr>
        <w:t xml:space="preserve"> </w:t>
      </w:r>
      <w:r w:rsidRPr="001C75CE">
        <w:rPr>
          <w:rFonts w:ascii="Times New Roman" w:hAnsi="Times New Roman" w:cs="Times New Roman"/>
          <w:lang w:val="uk-UA"/>
        </w:rPr>
        <w:t xml:space="preserve">Дослідженню питань сутності, класифікації, методики аналізу та оцінки </w:t>
      </w:r>
      <w:r w:rsidRPr="001C75CE">
        <w:rPr>
          <w:rFonts w:ascii="Times New Roman" w:hAnsi="Times New Roman" w:cs="Times New Roman"/>
          <w:color w:val="000000" w:themeColor="text1"/>
          <w:lang w:val="uk-UA"/>
        </w:rPr>
        <w:t>мобільності робочої сили</w:t>
      </w:r>
      <w:r w:rsidRPr="001C75CE">
        <w:rPr>
          <w:rFonts w:ascii="Times New Roman" w:hAnsi="Times New Roman" w:cs="Times New Roman"/>
          <w:lang w:val="uk-UA"/>
        </w:rPr>
        <w:t xml:space="preserve">, в останні роки присвячено праці багатьох науковців та практиків таких, як: </w:t>
      </w:r>
      <w:r w:rsidRPr="001C75CE">
        <w:rPr>
          <w:rFonts w:ascii="Times New Roman" w:eastAsia="TimesNewRomanPSMT" w:hAnsi="Times New Roman" w:cs="Times New Roman"/>
          <w:lang w:val="uk-UA"/>
        </w:rPr>
        <w:t xml:space="preserve">М.В. </w:t>
      </w:r>
      <w:proofErr w:type="spellStart"/>
      <w:r w:rsidRPr="001C75CE">
        <w:rPr>
          <w:rFonts w:ascii="Times New Roman" w:eastAsia="TimesNewRomanPSMT" w:hAnsi="Times New Roman" w:cs="Times New Roman"/>
          <w:lang w:val="uk-UA"/>
        </w:rPr>
        <w:t>Курман</w:t>
      </w:r>
      <w:proofErr w:type="spellEnd"/>
      <w:r w:rsidRPr="001C75CE">
        <w:rPr>
          <w:rFonts w:ascii="Times New Roman" w:hAnsi="Times New Roman" w:cs="Times New Roman"/>
          <w:bCs/>
          <w:lang w:val="uk-UA"/>
        </w:rPr>
        <w:t xml:space="preserve">, </w:t>
      </w:r>
      <w:r w:rsidRPr="001C75CE">
        <w:rPr>
          <w:rFonts w:ascii="Times New Roman" w:hAnsi="Times New Roman" w:cs="Times New Roman"/>
          <w:lang w:val="uk-UA"/>
        </w:rPr>
        <w:t>В. Єременко</w:t>
      </w:r>
      <w:r w:rsidRPr="001C75CE">
        <w:rPr>
          <w:rFonts w:ascii="Times New Roman" w:hAnsi="Times New Roman" w:cs="Times New Roman"/>
          <w:bCs/>
          <w:lang w:val="uk-UA"/>
        </w:rPr>
        <w:t xml:space="preserve">, </w:t>
      </w:r>
      <w:r w:rsidRPr="001C75CE">
        <w:rPr>
          <w:rFonts w:ascii="Times New Roman" w:eastAsia="TimesNewRomanPSMT" w:hAnsi="Times New Roman" w:cs="Times New Roman"/>
          <w:lang w:val="uk-UA"/>
        </w:rPr>
        <w:t xml:space="preserve">Б.Д. </w:t>
      </w:r>
      <w:proofErr w:type="spellStart"/>
      <w:r w:rsidRPr="001C75CE">
        <w:rPr>
          <w:rFonts w:ascii="Times New Roman" w:eastAsia="TimesNewRomanPSMT" w:hAnsi="Times New Roman" w:cs="Times New Roman"/>
          <w:lang w:val="uk-UA"/>
        </w:rPr>
        <w:t>Бреєв</w:t>
      </w:r>
      <w:proofErr w:type="spellEnd"/>
      <w:r w:rsidRPr="001C75CE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1C75CE">
        <w:rPr>
          <w:rFonts w:ascii="Times New Roman" w:eastAsia="TimesNewRomanPSMT" w:hAnsi="Times New Roman" w:cs="Times New Roman"/>
          <w:lang w:val="uk-UA"/>
        </w:rPr>
        <w:t>М.Г.Колосніциніна</w:t>
      </w:r>
      <w:proofErr w:type="spellEnd"/>
      <w:r w:rsidRPr="001C75CE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1C75CE">
        <w:rPr>
          <w:rFonts w:ascii="Times New Roman" w:hAnsi="Times New Roman" w:cs="Times New Roman"/>
          <w:bCs/>
          <w:lang w:val="uk-UA"/>
        </w:rPr>
        <w:t>В.Шаповал</w:t>
      </w:r>
      <w:proofErr w:type="spellEnd"/>
      <w:r w:rsidRPr="001C75CE">
        <w:rPr>
          <w:rFonts w:ascii="Times New Roman" w:hAnsi="Times New Roman" w:cs="Times New Roman"/>
          <w:bCs/>
          <w:lang w:val="uk-UA"/>
        </w:rPr>
        <w:t xml:space="preserve">, </w:t>
      </w:r>
      <w:r w:rsidRPr="001C75CE">
        <w:rPr>
          <w:rFonts w:ascii="Times New Roman" w:hAnsi="Times New Roman" w:cs="Times New Roman"/>
          <w:lang w:val="uk-UA"/>
        </w:rPr>
        <w:t xml:space="preserve">Ж.М. </w:t>
      </w:r>
      <w:proofErr w:type="spellStart"/>
      <w:r w:rsidRPr="001C75CE">
        <w:rPr>
          <w:rFonts w:ascii="Times New Roman" w:hAnsi="Times New Roman" w:cs="Times New Roman"/>
          <w:lang w:val="uk-UA"/>
        </w:rPr>
        <w:t>Балабанюк</w:t>
      </w:r>
      <w:proofErr w:type="spellEnd"/>
      <w:r w:rsidRPr="001C75CE">
        <w:rPr>
          <w:rFonts w:ascii="Times New Roman" w:hAnsi="Times New Roman" w:cs="Times New Roman"/>
          <w:lang w:val="uk-UA"/>
        </w:rPr>
        <w:t>, В.Г.</w:t>
      </w:r>
      <w:r w:rsidR="00C32813">
        <w:rPr>
          <w:rFonts w:ascii="Times New Roman" w:hAnsi="Times New Roman" w:cs="Times New Roman"/>
          <w:lang w:val="uk-UA"/>
        </w:rPr>
        <w:t> </w:t>
      </w:r>
      <w:proofErr w:type="spellStart"/>
      <w:r w:rsidRPr="001C75CE">
        <w:rPr>
          <w:rFonts w:ascii="Times New Roman" w:hAnsi="Times New Roman" w:cs="Times New Roman"/>
          <w:lang w:val="uk-UA"/>
        </w:rPr>
        <w:t>Никифоренко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C75CE">
        <w:rPr>
          <w:rFonts w:ascii="Times New Roman" w:hAnsi="Times New Roman" w:cs="Times New Roman"/>
          <w:lang w:val="uk-UA"/>
        </w:rPr>
        <w:t>О.А.Грішнова</w:t>
      </w:r>
      <w:proofErr w:type="spellEnd"/>
      <w:r w:rsidRPr="001C75CE">
        <w:rPr>
          <w:rFonts w:ascii="Times New Roman" w:hAnsi="Times New Roman" w:cs="Times New Roman"/>
          <w:lang w:val="uk-UA"/>
        </w:rPr>
        <w:t>, О.К. </w:t>
      </w:r>
      <w:proofErr w:type="spellStart"/>
      <w:r w:rsidRPr="001C75CE">
        <w:rPr>
          <w:rFonts w:ascii="Times New Roman" w:hAnsi="Times New Roman" w:cs="Times New Roman"/>
          <w:lang w:val="uk-UA"/>
        </w:rPr>
        <w:t>Абесінова</w:t>
      </w:r>
      <w:proofErr w:type="spellEnd"/>
      <w:r w:rsidRPr="001C75CE">
        <w:rPr>
          <w:rFonts w:ascii="Times New Roman" w:hAnsi="Times New Roman" w:cs="Times New Roman"/>
          <w:lang w:val="uk-UA"/>
        </w:rPr>
        <w:t>,</w:t>
      </w:r>
      <w:r w:rsidRPr="001C75C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C75CE">
        <w:rPr>
          <w:rFonts w:ascii="Times New Roman" w:hAnsi="Times New Roman" w:cs="Times New Roman"/>
          <w:lang w:val="uk-UA"/>
        </w:rPr>
        <w:t>И.С.</w:t>
      </w:r>
      <w:r w:rsidR="00C32813">
        <w:rPr>
          <w:rFonts w:ascii="Times New Roman" w:hAnsi="Times New Roman" w:cs="Times New Roman"/>
          <w:lang w:val="uk-UA"/>
        </w:rPr>
        <w:t> </w:t>
      </w:r>
      <w:proofErr w:type="spellStart"/>
      <w:r w:rsidRPr="001C75CE">
        <w:rPr>
          <w:rFonts w:ascii="Times New Roman" w:hAnsi="Times New Roman" w:cs="Times New Roman"/>
          <w:lang w:val="uk-UA"/>
        </w:rPr>
        <w:t>Варданян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В.М. </w:t>
      </w:r>
      <w:proofErr w:type="spellStart"/>
      <w:r w:rsidRPr="001C75CE">
        <w:rPr>
          <w:rFonts w:ascii="Times New Roman" w:hAnsi="Times New Roman" w:cs="Times New Roman"/>
          <w:lang w:val="uk-UA"/>
        </w:rPr>
        <w:t>Киренкова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Н.О. Мазур, С.О. </w:t>
      </w:r>
      <w:proofErr w:type="spellStart"/>
      <w:r w:rsidRPr="001C75CE">
        <w:rPr>
          <w:rFonts w:ascii="Times New Roman" w:hAnsi="Times New Roman" w:cs="Times New Roman"/>
          <w:lang w:val="uk-UA"/>
        </w:rPr>
        <w:t>Коцалап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C75CE">
        <w:rPr>
          <w:rFonts w:ascii="Times New Roman" w:hAnsi="Times New Roman" w:cs="Times New Roman"/>
          <w:lang w:val="uk-UA"/>
        </w:rPr>
        <w:t>Крушильницька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А.М. </w:t>
      </w:r>
      <w:proofErr w:type="spellStart"/>
      <w:r w:rsidRPr="001C75CE">
        <w:rPr>
          <w:rFonts w:ascii="Times New Roman" w:hAnsi="Times New Roman" w:cs="Times New Roman"/>
          <w:lang w:val="uk-UA"/>
        </w:rPr>
        <w:t>Колот</w:t>
      </w:r>
      <w:proofErr w:type="spellEnd"/>
      <w:r w:rsidRPr="001C75CE">
        <w:rPr>
          <w:rFonts w:ascii="Times New Roman" w:hAnsi="Times New Roman" w:cs="Times New Roman"/>
          <w:lang w:val="uk-UA"/>
        </w:rPr>
        <w:t xml:space="preserve">, ГО. </w:t>
      </w:r>
      <w:proofErr w:type="spellStart"/>
      <w:r w:rsidRPr="001C75CE">
        <w:rPr>
          <w:rFonts w:ascii="Times New Roman" w:hAnsi="Times New Roman" w:cs="Times New Roman"/>
          <w:lang w:val="uk-UA"/>
        </w:rPr>
        <w:t>Завіновська</w:t>
      </w:r>
      <w:proofErr w:type="spellEnd"/>
      <w:r w:rsidRPr="001C75CE">
        <w:rPr>
          <w:rFonts w:ascii="Times New Roman" w:hAnsi="Times New Roman" w:cs="Times New Roman"/>
          <w:lang w:val="uk-UA"/>
        </w:rPr>
        <w:t>, Б.Н.</w:t>
      </w:r>
      <w:r w:rsidR="00C32813">
        <w:rPr>
          <w:rFonts w:ascii="Times New Roman" w:hAnsi="Times New Roman" w:cs="Times New Roman"/>
          <w:lang w:val="uk-UA"/>
        </w:rPr>
        <w:t> </w:t>
      </w:r>
      <w:r w:rsidRPr="001C75CE">
        <w:rPr>
          <w:rFonts w:ascii="Times New Roman" w:hAnsi="Times New Roman" w:cs="Times New Roman"/>
          <w:lang w:val="uk-UA"/>
        </w:rPr>
        <w:t xml:space="preserve">Герасимов </w:t>
      </w:r>
      <w:r w:rsidRPr="001C75CE">
        <w:rPr>
          <w:rFonts w:ascii="Times New Roman" w:hAnsi="Times New Roman" w:cs="Times New Roman"/>
          <w:lang w:val="uk-UA"/>
        </w:rPr>
        <w:lastRenderedPageBreak/>
        <w:t>та ін. Проте незважаючи на досить численні</w:t>
      </w:r>
      <w:r w:rsidRPr="001C75C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C75CE">
        <w:rPr>
          <w:rFonts w:ascii="Times New Roman" w:hAnsi="Times New Roman" w:cs="Times New Roman"/>
          <w:lang w:val="uk-UA"/>
        </w:rPr>
        <w:t xml:space="preserve">дослідження, питання визначення специфіки оцінки </w:t>
      </w:r>
      <w:r w:rsidRPr="001C75CE">
        <w:rPr>
          <w:rFonts w:ascii="Times New Roman" w:hAnsi="Times New Roman" w:cs="Times New Roman"/>
          <w:color w:val="000000" w:themeColor="text1"/>
          <w:lang w:val="uk-UA"/>
        </w:rPr>
        <w:t xml:space="preserve">мобільності </w:t>
      </w:r>
      <w:r w:rsidRPr="00C32813">
        <w:rPr>
          <w:rFonts w:ascii="Times New Roman" w:hAnsi="Times New Roman" w:cs="Times New Roman"/>
          <w:color w:val="000000" w:themeColor="text1"/>
          <w:lang w:val="uk-UA"/>
        </w:rPr>
        <w:t>робочої сили</w:t>
      </w:r>
      <w:r w:rsidRPr="00C32813">
        <w:rPr>
          <w:rFonts w:ascii="Times New Roman" w:hAnsi="Times New Roman" w:cs="Times New Roman"/>
          <w:lang w:val="uk-UA"/>
        </w:rPr>
        <w:t xml:space="preserve"> залишаються і досі не вирішеними.</w:t>
      </w:r>
    </w:p>
    <w:p w:rsidR="00C32813" w:rsidRPr="00C32813" w:rsidRDefault="00C32813" w:rsidP="00861B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C32813">
        <w:rPr>
          <w:rFonts w:ascii="Times New Roman" w:hAnsi="Times New Roman" w:cs="Times New Roman"/>
          <w:b/>
          <w:lang w:val="uk-UA"/>
        </w:rPr>
        <w:t xml:space="preserve">Цілі статті. </w:t>
      </w:r>
      <w:r w:rsidRPr="00C32813">
        <w:rPr>
          <w:rFonts w:ascii="Times New Roman" w:hAnsi="Times New Roman" w:cs="Times New Roman"/>
          <w:lang w:val="uk-UA"/>
        </w:rPr>
        <w:t xml:space="preserve">Основна ціль даної статті полягає у вивченні </w:t>
      </w:r>
      <w:r w:rsidRPr="00C32813">
        <w:rPr>
          <w:rFonts w:ascii="Times New Roman" w:hAnsi="Times New Roman" w:cs="Times New Roman"/>
          <w:lang w:val="uk-UA" w:eastAsia="ko-KR"/>
        </w:rPr>
        <w:t xml:space="preserve">тенденції зміни та обґрунтуванні шліхів регулювання </w:t>
      </w:r>
      <w:r w:rsidRPr="00C32813">
        <w:rPr>
          <w:rFonts w:ascii="Times New Roman" w:hAnsi="Times New Roman" w:cs="Times New Roman"/>
          <w:lang w:val="uk-UA"/>
        </w:rPr>
        <w:t>мобільності робочої сили в Україні.</w:t>
      </w:r>
    </w:p>
    <w:p w:rsidR="00861B17" w:rsidRPr="00861B17" w:rsidRDefault="00C32813" w:rsidP="00861B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shd w:val="clear" w:color="auto" w:fill="FFFFFF"/>
          <w:lang w:val="uk-UA"/>
        </w:rPr>
      </w:pPr>
      <w:proofErr w:type="spellStart"/>
      <w:r w:rsidRPr="00C32813">
        <w:rPr>
          <w:rFonts w:ascii="Times New Roman" w:hAnsi="Times New Roman" w:cs="Times New Roman"/>
          <w:b/>
        </w:rPr>
        <w:t>Виклад</w:t>
      </w:r>
      <w:proofErr w:type="spellEnd"/>
      <w:r w:rsidRPr="00C32813">
        <w:rPr>
          <w:rFonts w:ascii="Times New Roman" w:hAnsi="Times New Roman" w:cs="Times New Roman"/>
          <w:b/>
        </w:rPr>
        <w:t xml:space="preserve"> основного </w:t>
      </w:r>
      <w:proofErr w:type="spellStart"/>
      <w:r w:rsidRPr="00C32813">
        <w:rPr>
          <w:rFonts w:ascii="Times New Roman" w:hAnsi="Times New Roman" w:cs="Times New Roman"/>
          <w:b/>
        </w:rPr>
        <w:t>матеріалу</w:t>
      </w:r>
      <w:proofErr w:type="spellEnd"/>
      <w:r w:rsidRPr="00C32813">
        <w:rPr>
          <w:rFonts w:ascii="Times New Roman" w:hAnsi="Times New Roman" w:cs="Times New Roman"/>
          <w:b/>
        </w:rPr>
        <w:t xml:space="preserve"> </w:t>
      </w:r>
      <w:proofErr w:type="spellStart"/>
      <w:r w:rsidRPr="00C32813">
        <w:rPr>
          <w:rFonts w:ascii="Times New Roman" w:hAnsi="Times New Roman" w:cs="Times New Roman"/>
          <w:b/>
        </w:rPr>
        <w:t>дослідження</w:t>
      </w:r>
      <w:proofErr w:type="spellEnd"/>
      <w:r w:rsidRPr="00C32813">
        <w:rPr>
          <w:rFonts w:ascii="Times New Roman" w:hAnsi="Times New Roman" w:cs="Times New Roman"/>
          <w:b/>
        </w:rPr>
        <w:t xml:space="preserve"> з </w:t>
      </w:r>
      <w:proofErr w:type="spellStart"/>
      <w:r w:rsidRPr="00C32813">
        <w:rPr>
          <w:rFonts w:ascii="Times New Roman" w:hAnsi="Times New Roman" w:cs="Times New Roman"/>
          <w:b/>
        </w:rPr>
        <w:t>повним</w:t>
      </w:r>
      <w:proofErr w:type="spellEnd"/>
      <w:r w:rsidRPr="00C32813">
        <w:rPr>
          <w:rFonts w:ascii="Times New Roman" w:hAnsi="Times New Roman" w:cs="Times New Roman"/>
          <w:b/>
        </w:rPr>
        <w:t xml:space="preserve"> </w:t>
      </w:r>
      <w:proofErr w:type="spellStart"/>
      <w:r w:rsidRPr="00C32813">
        <w:rPr>
          <w:rFonts w:ascii="Times New Roman" w:hAnsi="Times New Roman" w:cs="Times New Roman"/>
          <w:b/>
        </w:rPr>
        <w:t>обґрунтуванням</w:t>
      </w:r>
      <w:proofErr w:type="spellEnd"/>
      <w:r w:rsidRPr="00C32813">
        <w:rPr>
          <w:rFonts w:ascii="Times New Roman" w:hAnsi="Times New Roman" w:cs="Times New Roman"/>
          <w:b/>
        </w:rPr>
        <w:t xml:space="preserve"> </w:t>
      </w:r>
      <w:proofErr w:type="spellStart"/>
      <w:r w:rsidRPr="00C32813">
        <w:rPr>
          <w:rFonts w:ascii="Times New Roman" w:hAnsi="Times New Roman" w:cs="Times New Roman"/>
          <w:b/>
        </w:rPr>
        <w:t>отриманих</w:t>
      </w:r>
      <w:proofErr w:type="spellEnd"/>
      <w:r w:rsidRPr="00C32813">
        <w:rPr>
          <w:rFonts w:ascii="Times New Roman" w:hAnsi="Times New Roman" w:cs="Times New Roman"/>
          <w:b/>
        </w:rPr>
        <w:t xml:space="preserve"> </w:t>
      </w:r>
      <w:proofErr w:type="spellStart"/>
      <w:r w:rsidRPr="00C32813">
        <w:rPr>
          <w:rFonts w:ascii="Times New Roman" w:hAnsi="Times New Roman" w:cs="Times New Roman"/>
          <w:b/>
        </w:rPr>
        <w:t>наукових</w:t>
      </w:r>
      <w:proofErr w:type="spellEnd"/>
      <w:r w:rsidRPr="00C32813">
        <w:rPr>
          <w:rFonts w:ascii="Times New Roman" w:hAnsi="Times New Roman" w:cs="Times New Roman"/>
          <w:b/>
        </w:rPr>
        <w:t xml:space="preserve"> </w:t>
      </w:r>
      <w:proofErr w:type="spellStart"/>
      <w:r w:rsidRPr="00C32813">
        <w:rPr>
          <w:rFonts w:ascii="Times New Roman" w:hAnsi="Times New Roman" w:cs="Times New Roman"/>
          <w:b/>
        </w:rPr>
        <w:t>результатів</w:t>
      </w:r>
      <w:proofErr w:type="spellEnd"/>
      <w:r w:rsidRPr="00C32813">
        <w:rPr>
          <w:rFonts w:ascii="Times New Roman" w:hAnsi="Times New Roman" w:cs="Times New Roman"/>
          <w:b/>
        </w:rPr>
        <w:t>.</w:t>
      </w:r>
      <w:r w:rsidRPr="00D84DCB">
        <w:rPr>
          <w:b/>
        </w:rPr>
        <w:t xml:space="preserve"> </w:t>
      </w:r>
      <w:r w:rsidR="00861B17" w:rsidRPr="00861B17">
        <w:rPr>
          <w:rFonts w:ascii="Times New Roman" w:hAnsi="Times New Roman" w:cs="Times New Roman"/>
          <w:shd w:val="clear" w:color="auto" w:fill="FFFFFF"/>
          <w:lang w:val="uk-UA"/>
        </w:rPr>
        <w:t>Мобільність ринку праці – це процес переміщення робочої сили до нових робочих місць. Перехід на нову роботу може супроводжуватися зміною виду зайнятості (професії), території, роботодавця.</w:t>
      </w:r>
    </w:p>
    <w:p w:rsidR="001C75CE" w:rsidRPr="00F45D5C" w:rsidRDefault="00861B17" w:rsidP="00EB50A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eastAsia="TimesNewRomanPSMT" w:hAnsi="Times New Roman" w:cs="Times New Roman"/>
          <w:lang w:val="uk-UA"/>
        </w:rPr>
        <w:t>Ступінь мобільності робочої сили та робочих місць у економіці інноваційно</w:t>
      </w:r>
      <w:r w:rsidRPr="00354E6E">
        <w:rPr>
          <w:rFonts w:ascii="Times New Roman" w:eastAsia="TimesNewRomanPSMT" w:hAnsi="Times New Roman" w:cs="Times New Roman"/>
          <w:lang w:val="uk-UA"/>
        </w:rPr>
        <w:t>го типу визначається факторами</w:t>
      </w:r>
      <w:r w:rsidR="00F45D5C">
        <w:rPr>
          <w:rFonts w:ascii="Times New Roman" w:eastAsia="TimesNewRomanPSMT" w:hAnsi="Times New Roman" w:cs="Times New Roman"/>
          <w:lang w:val="uk-UA"/>
        </w:rPr>
        <w:t xml:space="preserve"> [1</w:t>
      </w:r>
      <w:r w:rsidR="00F45D5C" w:rsidRPr="00EF2DB5">
        <w:rPr>
          <w:rFonts w:ascii="Times New Roman" w:eastAsia="TimesNewRomanPSMT" w:hAnsi="Times New Roman" w:cs="Times New Roman"/>
          <w:lang w:val="uk-UA"/>
        </w:rPr>
        <w:t>]</w:t>
      </w:r>
      <w:r w:rsidRPr="00354E6E">
        <w:rPr>
          <w:rFonts w:ascii="Times New Roman" w:eastAsia="TimesNewRomanPSMT" w:hAnsi="Times New Roman" w:cs="Times New Roman"/>
          <w:lang w:val="uk-UA"/>
        </w:rPr>
        <w:t>: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динаміка і характер розвитку економіки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4648E" w:rsidRDefault="00861B17" w:rsidP="0084648E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рівень інвестицій в економіку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 xml:space="preserve">світові </w:t>
      </w:r>
      <w:proofErr w:type="spellStart"/>
      <w:r w:rsidRPr="00861B17">
        <w:rPr>
          <w:rFonts w:ascii="Times New Roman" w:hAnsi="Times New Roman" w:cs="Times New Roman"/>
          <w:lang w:val="uk-UA"/>
        </w:rPr>
        <w:t>інтеграціійні</w:t>
      </w:r>
      <w:proofErr w:type="spellEnd"/>
      <w:r w:rsidRPr="00861B17">
        <w:rPr>
          <w:rFonts w:ascii="Times New Roman" w:hAnsi="Times New Roman" w:cs="Times New Roman"/>
          <w:lang w:val="uk-UA"/>
        </w:rPr>
        <w:t xml:space="preserve"> процеси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науково-технічний прогрес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зміна показників інфляції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зростання потреб населення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зростання неформальної зайнятості</w:t>
      </w:r>
      <w:r>
        <w:rPr>
          <w:rFonts w:ascii="Times New Roman" w:hAnsi="Times New Roman" w:cs="Times New Roman"/>
          <w:lang w:val="uk-UA"/>
        </w:rPr>
        <w:t>;</w:t>
      </w:r>
    </w:p>
    <w:p w:rsidR="00861B17" w:rsidRP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диференціація в режимах, умовах оплати праці</w:t>
      </w:r>
      <w:r>
        <w:rPr>
          <w:rFonts w:ascii="Times New Roman" w:hAnsi="Times New Roman" w:cs="Times New Roman"/>
          <w:lang w:val="uk-UA"/>
        </w:rPr>
        <w:t>;</w:t>
      </w:r>
    </w:p>
    <w:p w:rsidR="00861B17" w:rsidRDefault="00861B17" w:rsidP="00861B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  <w:r w:rsidRPr="00861B17">
        <w:rPr>
          <w:rFonts w:ascii="Times New Roman" w:hAnsi="Times New Roman" w:cs="Times New Roman"/>
          <w:lang w:val="uk-UA"/>
        </w:rPr>
        <w:t>рівень життя</w:t>
      </w:r>
      <w:r>
        <w:rPr>
          <w:rFonts w:ascii="Times New Roman" w:hAnsi="Times New Roman" w:cs="Times New Roman"/>
          <w:lang w:val="uk-UA"/>
        </w:rPr>
        <w:t>.</w:t>
      </w:r>
    </w:p>
    <w:p w:rsidR="00C32813" w:rsidRDefault="00410D5D" w:rsidP="00C3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10D5D">
        <w:rPr>
          <w:rFonts w:ascii="Times New Roman" w:hAnsi="Times New Roman" w:cs="Times New Roman"/>
          <w:color w:val="000000" w:themeColor="text1"/>
        </w:rPr>
        <w:t xml:space="preserve">За результатами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проведеного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порівняльного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аналізу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зміни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кількості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незайнятих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громадян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які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скористалися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послугами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державної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служби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зайнятості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рівня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їх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працевлаштування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в Україні</w:t>
      </w:r>
      <w:r w:rsidRPr="00410D5D">
        <w:rPr>
          <w:rFonts w:ascii="Times New Roman" w:hAnsi="Times New Roman" w:cs="Times New Roman"/>
          <w:color w:val="000000" w:themeColor="text1"/>
        </w:rPr>
        <w:t xml:space="preserve"> за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410D5D">
        <w:rPr>
          <w:rFonts w:ascii="Times New Roman" w:hAnsi="Times New Roman" w:cs="Times New Roman"/>
          <w:color w:val="000000" w:themeColor="text1"/>
        </w:rPr>
        <w:t xml:space="preserve">-2017рр. </w:t>
      </w:r>
      <w:r w:rsidR="00EF2DB5">
        <w:rPr>
          <w:rFonts w:ascii="Times New Roman" w:hAnsi="Times New Roman" w:cs="Times New Roman"/>
          <w:color w:val="000000" w:themeColor="text1"/>
        </w:rPr>
        <w:t>(рис. 1</w:t>
      </w:r>
      <w:r w:rsidRPr="00410D5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можна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зробити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висновок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про те,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починаючи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з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</w:t>
      </w:r>
      <w:proofErr w:type="spellEnd"/>
      <w:r w:rsidRPr="00410D5D">
        <w:rPr>
          <w:rFonts w:ascii="Times New Roman" w:hAnsi="Times New Roman" w:cs="Times New Roman"/>
          <w:color w:val="000000" w:themeColor="text1"/>
          <w:lang w:val="uk-UA"/>
        </w:rPr>
        <w:t xml:space="preserve">ку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поступово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скорочується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кількість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осіб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які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скористалися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послугами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Державної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служби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зайнятості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Найменше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значення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2DB5">
        <w:rPr>
          <w:rFonts w:ascii="Times New Roman" w:hAnsi="Times New Roman" w:cs="Times New Roman"/>
          <w:color w:val="000000" w:themeColor="text1"/>
        </w:rPr>
        <w:t>цього</w:t>
      </w:r>
      <w:proofErr w:type="spellEnd"/>
      <w:r w:rsidR="00EF2DB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2DB5">
        <w:rPr>
          <w:rFonts w:ascii="Times New Roman" w:hAnsi="Times New Roman" w:cs="Times New Roman"/>
          <w:color w:val="000000" w:themeColor="text1"/>
        </w:rPr>
        <w:t>показника</w:t>
      </w:r>
      <w:proofErr w:type="spellEnd"/>
      <w:r w:rsidR="00EF2DB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2DB5">
        <w:rPr>
          <w:rFonts w:ascii="Times New Roman" w:hAnsi="Times New Roman" w:cs="Times New Roman"/>
          <w:color w:val="000000" w:themeColor="text1"/>
        </w:rPr>
        <w:t>досягнуто</w:t>
      </w:r>
      <w:proofErr w:type="spellEnd"/>
      <w:r w:rsidR="00EF2DB5">
        <w:rPr>
          <w:rFonts w:ascii="Times New Roman" w:hAnsi="Times New Roman" w:cs="Times New Roman"/>
          <w:color w:val="000000" w:themeColor="text1"/>
        </w:rPr>
        <w:t xml:space="preserve"> у 2018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лише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r w:rsidR="00EF2DB5">
        <w:rPr>
          <w:rFonts w:ascii="Times New Roman" w:hAnsi="Times New Roman" w:cs="Times New Roman"/>
          <w:color w:val="000000" w:themeColor="text1"/>
          <w:lang w:val="uk-UA"/>
        </w:rPr>
        <w:t xml:space="preserve">341,7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тис.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осіб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пов’язано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встановленням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ряду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законодавчих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обмежень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зменшують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коло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осіб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які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можуть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вважатися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безробітними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ставати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облік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державну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службу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зайнятості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. </w:t>
      </w:r>
    </w:p>
    <w:p w:rsidR="00C32813" w:rsidRDefault="00354E6E" w:rsidP="00C3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410D5D">
        <w:rPr>
          <w:rFonts w:ascii="Times New Roman" w:hAnsi="Times New Roman" w:cs="Times New Roman"/>
          <w:color w:val="000000" w:themeColor="text1"/>
        </w:rPr>
        <w:t>Це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значн</w:t>
      </w:r>
      <w:r>
        <w:rPr>
          <w:rFonts w:ascii="Times New Roman" w:hAnsi="Times New Roman" w:cs="Times New Roman"/>
          <w:color w:val="000000" w:themeColor="text1"/>
          <w:lang w:val="uk-UA"/>
        </w:rPr>
        <w:t>ою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мір</w:t>
      </w:r>
      <w:r>
        <w:rPr>
          <w:rFonts w:ascii="Times New Roman" w:hAnsi="Times New Roman" w:cs="Times New Roman"/>
          <w:color w:val="000000" w:themeColor="text1"/>
          <w:lang w:val="uk-UA"/>
        </w:rPr>
        <w:t>ою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забезпечило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значне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зростання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показників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пра</w:t>
      </w:r>
      <w:r>
        <w:rPr>
          <w:rFonts w:ascii="Times New Roman" w:hAnsi="Times New Roman" w:cs="Times New Roman"/>
          <w:color w:val="000000" w:themeColor="text1"/>
        </w:rPr>
        <w:t>цевлаштування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безробітних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2018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до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112</w:t>
      </w:r>
      <w:r w:rsidRPr="00410D5D">
        <w:rPr>
          <w:rFonts w:ascii="Times New Roman" w:hAnsi="Times New Roman" w:cs="Times New Roman"/>
          <w:color w:val="000000" w:themeColor="text1"/>
        </w:rPr>
        <w:t>,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47</w:t>
      </w:r>
      <w:r w:rsidRPr="00410D5D">
        <w:rPr>
          <w:rFonts w:ascii="Times New Roman" w:hAnsi="Times New Roman" w:cs="Times New Roman"/>
          <w:color w:val="000000" w:themeColor="text1"/>
        </w:rPr>
        <w:t>%.</w:t>
      </w:r>
    </w:p>
    <w:p w:rsidR="00861B17" w:rsidRPr="00861B17" w:rsidRDefault="00861B17" w:rsidP="00861B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EB50A2">
        <w:rPr>
          <w:rFonts w:ascii="Times New Roman" w:hAnsi="Times New Roman" w:cs="Times New Roman"/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1B627C05" wp14:editId="2C3C9E77">
            <wp:extent cx="3717985" cy="3209027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0D5D" w:rsidRPr="00F45D5C" w:rsidRDefault="00EF2DB5" w:rsidP="00C328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lang w:val="uk-UA"/>
        </w:rPr>
        <w:t>Рис.</w:t>
      </w:r>
      <w:r w:rsidR="00C328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1.</w:t>
      </w:r>
      <w:r w:rsidR="00410D5D" w:rsidRPr="00410D5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Динаміка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попиту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пропозиції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робочої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сили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</w:rPr>
        <w:t xml:space="preserve">  </w:t>
      </w:r>
      <w:r w:rsidR="00410D5D" w:rsidRPr="00410D5D">
        <w:rPr>
          <w:rFonts w:ascii="Times New Roman" w:hAnsi="Times New Roman" w:cs="Times New Roman"/>
          <w:color w:val="000000" w:themeColor="text1"/>
          <w:lang w:val="uk-UA"/>
        </w:rPr>
        <w:t xml:space="preserve">в Україні </w:t>
      </w:r>
      <w:r w:rsidR="00410D5D" w:rsidRPr="00410D5D">
        <w:rPr>
          <w:rFonts w:ascii="Times New Roman" w:hAnsi="Times New Roman" w:cs="Times New Roman"/>
          <w:color w:val="000000" w:themeColor="text1"/>
        </w:rPr>
        <w:t>за 201</w:t>
      </w:r>
      <w:r w:rsidR="00410D5D" w:rsidRPr="00410D5D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410D5D" w:rsidRPr="00410D5D">
        <w:rPr>
          <w:rFonts w:ascii="Times New Roman" w:hAnsi="Times New Roman" w:cs="Times New Roman"/>
          <w:color w:val="000000" w:themeColor="text1"/>
        </w:rPr>
        <w:t>-201</w:t>
      </w:r>
      <w:r w:rsidR="00410D5D" w:rsidRPr="00410D5D">
        <w:rPr>
          <w:rFonts w:ascii="Times New Roman" w:hAnsi="Times New Roman" w:cs="Times New Roman"/>
          <w:color w:val="000000" w:themeColor="text1"/>
          <w:lang w:val="uk-UA"/>
        </w:rPr>
        <w:t>8</w:t>
      </w:r>
      <w:proofErr w:type="spellStart"/>
      <w:r w:rsidR="00410D5D" w:rsidRPr="00410D5D">
        <w:rPr>
          <w:rFonts w:ascii="Times New Roman" w:hAnsi="Times New Roman" w:cs="Times New Roman"/>
          <w:color w:val="000000" w:themeColor="text1"/>
        </w:rPr>
        <w:t>рр</w:t>
      </w:r>
      <w:proofErr w:type="spellEnd"/>
      <w:r w:rsidR="00410D5D" w:rsidRPr="00410D5D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F45D5C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F45D5C">
        <w:rPr>
          <w:rFonts w:ascii="Times New Roman" w:hAnsi="Times New Roman" w:cs="Times New Roman"/>
          <w:lang w:val="uk-UA"/>
        </w:rPr>
        <w:t>побудовано за</w:t>
      </w:r>
      <w:r w:rsidR="00F45D5C" w:rsidRPr="00F45D5C">
        <w:rPr>
          <w:rFonts w:ascii="Times New Roman" w:hAnsi="Times New Roman" w:cs="Times New Roman"/>
          <w:lang w:val="uk-UA"/>
        </w:rPr>
        <w:t xml:space="preserve"> </w:t>
      </w:r>
      <w:r w:rsidR="00F45D5C">
        <w:rPr>
          <w:rFonts w:ascii="Times New Roman" w:hAnsi="Times New Roman" w:cs="Times New Roman"/>
          <w:lang w:val="uk-UA"/>
        </w:rPr>
        <w:t>даними</w:t>
      </w:r>
      <w:r w:rsidR="00F45D5C" w:rsidRPr="00F45D5C">
        <w:rPr>
          <w:rFonts w:ascii="Times New Roman" w:hAnsi="Times New Roman" w:cs="Times New Roman"/>
          <w:lang w:val="uk-UA"/>
        </w:rPr>
        <w:t xml:space="preserve"> </w:t>
      </w:r>
      <w:r w:rsidR="00A85E0C">
        <w:rPr>
          <w:rFonts w:ascii="Times New Roman" w:eastAsia="TimesNewRomanPSMT" w:hAnsi="Times New Roman" w:cs="Times New Roman"/>
          <w:lang w:val="uk-UA"/>
        </w:rPr>
        <w:t>[2-4</w:t>
      </w:r>
      <w:r w:rsidR="00F45D5C" w:rsidRPr="00F45D5C">
        <w:rPr>
          <w:rFonts w:ascii="Times New Roman" w:eastAsia="TimesNewRomanPSMT" w:hAnsi="Times New Roman" w:cs="Times New Roman"/>
          <w:lang w:val="uk-UA"/>
        </w:rPr>
        <w:t>]</w:t>
      </w:r>
      <w:r w:rsidR="00F45D5C">
        <w:rPr>
          <w:rFonts w:ascii="Times New Roman" w:eastAsia="TimesNewRomanPSMT" w:hAnsi="Times New Roman" w:cs="Times New Roman"/>
          <w:lang w:val="uk-UA"/>
        </w:rPr>
        <w:t>)</w:t>
      </w:r>
    </w:p>
    <w:p w:rsidR="00861B17" w:rsidRPr="00C32813" w:rsidRDefault="00861B17" w:rsidP="00C32813">
      <w:pPr>
        <w:tabs>
          <w:tab w:val="left" w:pos="4793"/>
        </w:tabs>
        <w:spacing w:after="0" w:line="240" w:lineRule="auto"/>
        <w:rPr>
          <w:rFonts w:ascii="Times New Roman" w:hAnsi="Times New Roman" w:cs="Times New Roman"/>
        </w:rPr>
      </w:pPr>
    </w:p>
    <w:p w:rsidR="00C32813" w:rsidRPr="00C32813" w:rsidRDefault="00C32813" w:rsidP="00C3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10D5D">
        <w:rPr>
          <w:rFonts w:ascii="Times New Roman" w:hAnsi="Times New Roman" w:cs="Times New Roman"/>
          <w:color w:val="000000" w:themeColor="text1"/>
        </w:rPr>
        <w:t xml:space="preserve">За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декілька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останніх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років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в Україні</w:t>
      </w:r>
      <w:r w:rsidRPr="00410D5D">
        <w:rPr>
          <w:rFonts w:ascii="Times New Roman" w:hAnsi="Times New Roman" w:cs="Times New Roman"/>
          <w:color w:val="000000" w:themeColor="text1"/>
        </w:rPr>
        <w:t xml:space="preserve"> попит на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робочу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силу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має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тенденцію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збільшення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пропозиція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тенденцію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зниження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Пропозиція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робочої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сили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у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зменшиася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39</w:t>
      </w:r>
      <w:r w:rsidRPr="00410D5D">
        <w:rPr>
          <w:rFonts w:ascii="Times New Roman" w:hAnsi="Times New Roman" w:cs="Times New Roman"/>
          <w:color w:val="000000" w:themeColor="text1"/>
        </w:rPr>
        <w:t>,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410D5D">
        <w:rPr>
          <w:rFonts w:ascii="Times New Roman" w:hAnsi="Times New Roman" w:cs="Times New Roman"/>
          <w:color w:val="000000" w:themeColor="text1"/>
        </w:rPr>
        <w:t xml:space="preserve">2%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відносно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410D5D">
        <w:rPr>
          <w:rFonts w:ascii="Times New Roman" w:hAnsi="Times New Roman" w:cs="Times New Roman"/>
          <w:color w:val="000000" w:themeColor="text1"/>
        </w:rPr>
        <w:t xml:space="preserve"> р. Але, попит на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робочу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силу за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останні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роки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зростає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швидкими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темпами, </w:t>
      </w:r>
      <w:proofErr w:type="spellStart"/>
      <w:proofErr w:type="gram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свідчить</w:t>
      </w:r>
      <w:proofErr w:type="spellEnd"/>
      <w:proofErr w:type="gramEnd"/>
      <w:r w:rsidRPr="00410D5D">
        <w:rPr>
          <w:rFonts w:ascii="Times New Roman" w:hAnsi="Times New Roman" w:cs="Times New Roman"/>
          <w:color w:val="000000" w:themeColor="text1"/>
        </w:rPr>
        <w:t xml:space="preserve"> про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зменшення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навантаження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одне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робоче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місце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з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9</w:t>
      </w:r>
      <w:r w:rsidRPr="00410D5D">
        <w:rPr>
          <w:rFonts w:ascii="Times New Roman" w:hAnsi="Times New Roman" w:cs="Times New Roman"/>
          <w:color w:val="000000" w:themeColor="text1"/>
        </w:rPr>
        <w:t xml:space="preserve"> ос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410D5D">
        <w:rPr>
          <w:rFonts w:ascii="Times New Roman" w:hAnsi="Times New Roman" w:cs="Times New Roman"/>
          <w:color w:val="000000" w:themeColor="text1"/>
        </w:rPr>
        <w:t xml:space="preserve">б на одну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вакансію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у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0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до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осіб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кінець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410D5D">
        <w:rPr>
          <w:rFonts w:ascii="Times New Roman" w:hAnsi="Times New Roman" w:cs="Times New Roman"/>
          <w:color w:val="000000" w:themeColor="text1"/>
        </w:rPr>
        <w:t xml:space="preserve"> року. У 201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спостерігається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зростання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попиту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робочої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сили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15,87%</w:t>
      </w:r>
      <w:r w:rsidRPr="00410D5D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зменшення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незайнятих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майже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на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3,6</w:t>
      </w:r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відсотків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свідчить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про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негативні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тенденції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10D5D">
        <w:rPr>
          <w:rFonts w:ascii="Times New Roman" w:hAnsi="Times New Roman" w:cs="Times New Roman"/>
          <w:color w:val="000000" w:themeColor="text1"/>
        </w:rPr>
        <w:t>на ринку</w:t>
      </w:r>
      <w:proofErr w:type="gram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праці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r w:rsidRPr="00410D5D">
        <w:rPr>
          <w:rFonts w:ascii="Times New Roman" w:hAnsi="Times New Roman" w:cs="Times New Roman"/>
          <w:color w:val="000000" w:themeColor="text1"/>
          <w:lang w:val="uk-UA"/>
        </w:rPr>
        <w:t>України</w:t>
      </w:r>
      <w:r>
        <w:rPr>
          <w:rFonts w:ascii="Times New Roman" w:hAnsi="Times New Roman" w:cs="Times New Roman"/>
          <w:color w:val="000000" w:themeColor="text1"/>
        </w:rPr>
        <w:t xml:space="preserve"> (рис. 1</w:t>
      </w:r>
      <w:r w:rsidRPr="00410D5D">
        <w:rPr>
          <w:rFonts w:ascii="Times New Roman" w:hAnsi="Times New Roman" w:cs="Times New Roman"/>
          <w:color w:val="000000" w:themeColor="text1"/>
        </w:rPr>
        <w:t xml:space="preserve">). </w:t>
      </w:r>
      <w:r>
        <w:rPr>
          <w:rFonts w:ascii="Times New Roman" w:hAnsi="Times New Roman" w:cs="Times New Roman"/>
          <w:color w:val="000000" w:themeColor="text1"/>
          <w:lang w:val="uk-UA"/>
        </w:rPr>
        <w:t>Адже, н</w:t>
      </w:r>
      <w:r w:rsidRPr="00410D5D">
        <w:rPr>
          <w:rFonts w:ascii="Times New Roman" w:hAnsi="Times New Roman" w:cs="Times New Roman"/>
          <w:color w:val="000000" w:themeColor="text1"/>
        </w:rPr>
        <w:t xml:space="preserve">е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всі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хто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шукають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роботу,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зможуть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її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знайти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C32813" w:rsidRDefault="00C32813" w:rsidP="00C3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10D5D">
        <w:rPr>
          <w:rFonts w:ascii="Times New Roman" w:hAnsi="Times New Roman" w:cs="Times New Roman"/>
          <w:color w:val="000000" w:themeColor="text1"/>
        </w:rPr>
        <w:t xml:space="preserve">Таким чином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ефективність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роботи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Державної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служби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зайнятості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не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завжди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можна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явно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оцінити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без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заглиблення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зміни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нормативно-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правової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бази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та суть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процесів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0D5D">
        <w:rPr>
          <w:rFonts w:ascii="Times New Roman" w:hAnsi="Times New Roman" w:cs="Times New Roman"/>
          <w:color w:val="000000" w:themeColor="text1"/>
        </w:rPr>
        <w:t>від</w:t>
      </w:r>
      <w:r>
        <w:rPr>
          <w:rFonts w:ascii="Times New Roman" w:hAnsi="Times New Roman" w:cs="Times New Roman"/>
          <w:color w:val="000000" w:themeColor="text1"/>
        </w:rPr>
        <w:t>буваються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на ринку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праці</w:t>
      </w:r>
      <w:proofErr w:type="spellEnd"/>
      <w:r w:rsidRPr="00410D5D">
        <w:rPr>
          <w:rFonts w:ascii="Times New Roman" w:hAnsi="Times New Roman" w:cs="Times New Roman"/>
          <w:color w:val="000000" w:themeColor="text1"/>
        </w:rPr>
        <w:t>.</w:t>
      </w:r>
    </w:p>
    <w:p w:rsidR="00EF2DB5" w:rsidRDefault="00EF2DB5" w:rsidP="00EF2DB5">
      <w:pPr>
        <w:pStyle w:val="2"/>
        <w:shd w:val="clear" w:color="auto" w:fill="auto"/>
        <w:spacing w:line="240" w:lineRule="auto"/>
        <w:ind w:left="20" w:right="20" w:firstLine="547"/>
        <w:rPr>
          <w:sz w:val="22"/>
          <w:szCs w:val="22"/>
        </w:rPr>
      </w:pPr>
      <w:r w:rsidRPr="00EF2DB5">
        <w:rPr>
          <w:sz w:val="22"/>
          <w:szCs w:val="22"/>
        </w:rPr>
        <w:lastRenderedPageBreak/>
        <w:t xml:space="preserve">За результатами </w:t>
      </w:r>
      <w:proofErr w:type="spellStart"/>
      <w:r w:rsidRPr="00EF2DB5">
        <w:rPr>
          <w:sz w:val="22"/>
          <w:szCs w:val="22"/>
        </w:rPr>
        <w:t>опитування</w:t>
      </w:r>
      <w:proofErr w:type="spellEnd"/>
      <w:r w:rsidRPr="00EF2DB5">
        <w:rPr>
          <w:sz w:val="22"/>
          <w:szCs w:val="22"/>
        </w:rPr>
        <w:t xml:space="preserve">, </w:t>
      </w:r>
      <w:proofErr w:type="spellStart"/>
      <w:r w:rsidRPr="00EF2DB5">
        <w:rPr>
          <w:sz w:val="22"/>
          <w:szCs w:val="22"/>
        </w:rPr>
        <w:t>проведеного</w:t>
      </w:r>
      <w:proofErr w:type="spellEnd"/>
      <w:r w:rsidRPr="00EF2DB5">
        <w:rPr>
          <w:sz w:val="22"/>
          <w:szCs w:val="22"/>
        </w:rPr>
        <w:t xml:space="preserve"> в </w:t>
      </w:r>
      <w:proofErr w:type="spellStart"/>
      <w:r w:rsidRPr="00EF2DB5">
        <w:rPr>
          <w:sz w:val="22"/>
          <w:szCs w:val="22"/>
        </w:rPr>
        <w:t>Україні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Соціологічною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групою</w:t>
      </w:r>
      <w:proofErr w:type="spellEnd"/>
      <w:r w:rsidRPr="00EF2DB5">
        <w:rPr>
          <w:sz w:val="22"/>
          <w:szCs w:val="22"/>
        </w:rPr>
        <w:t xml:space="preserve"> «Рейтинг» у </w:t>
      </w:r>
      <w:proofErr w:type="spellStart"/>
      <w:r w:rsidRPr="00EF2DB5">
        <w:rPr>
          <w:sz w:val="22"/>
          <w:szCs w:val="22"/>
        </w:rPr>
        <w:t>вересні</w:t>
      </w:r>
      <w:proofErr w:type="spellEnd"/>
      <w:r w:rsidRPr="00EF2DB5">
        <w:rPr>
          <w:sz w:val="22"/>
          <w:szCs w:val="22"/>
        </w:rPr>
        <w:t xml:space="preserve"> 2017 року, </w:t>
      </w:r>
      <w:proofErr w:type="spellStart"/>
      <w:r w:rsidRPr="00EF2DB5">
        <w:rPr>
          <w:sz w:val="22"/>
          <w:szCs w:val="22"/>
        </w:rPr>
        <w:t>визначено</w:t>
      </w:r>
      <w:proofErr w:type="spellEnd"/>
      <w:r w:rsidRPr="00EF2DB5">
        <w:rPr>
          <w:sz w:val="22"/>
          <w:szCs w:val="22"/>
        </w:rPr>
        <w:t xml:space="preserve">, </w:t>
      </w:r>
      <w:proofErr w:type="spellStart"/>
      <w:r w:rsidRPr="00EF2DB5">
        <w:rPr>
          <w:sz w:val="22"/>
          <w:szCs w:val="22"/>
        </w:rPr>
        <w:t>що</w:t>
      </w:r>
      <w:proofErr w:type="spellEnd"/>
      <w:r w:rsidRPr="00EF2DB5">
        <w:rPr>
          <w:sz w:val="22"/>
          <w:szCs w:val="22"/>
        </w:rPr>
        <w:t xml:space="preserve"> 35 % </w:t>
      </w:r>
      <w:proofErr w:type="spellStart"/>
      <w:r w:rsidRPr="00EF2DB5">
        <w:rPr>
          <w:sz w:val="22"/>
          <w:szCs w:val="22"/>
        </w:rPr>
        <w:t>респондентів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віком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від</w:t>
      </w:r>
      <w:proofErr w:type="spellEnd"/>
      <w:r w:rsidRPr="00EF2DB5">
        <w:rPr>
          <w:sz w:val="22"/>
          <w:szCs w:val="22"/>
        </w:rPr>
        <w:t xml:space="preserve"> 18 </w:t>
      </w:r>
      <w:proofErr w:type="spellStart"/>
      <w:r w:rsidRPr="00EF2DB5">
        <w:rPr>
          <w:sz w:val="22"/>
          <w:szCs w:val="22"/>
        </w:rPr>
        <w:t>років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хотіли</w:t>
      </w:r>
      <w:proofErr w:type="spellEnd"/>
      <w:r w:rsidRPr="00EF2DB5">
        <w:rPr>
          <w:sz w:val="22"/>
          <w:szCs w:val="22"/>
        </w:rPr>
        <w:t xml:space="preserve"> б </w:t>
      </w:r>
      <w:proofErr w:type="spellStart"/>
      <w:r w:rsidRPr="00EF2DB5">
        <w:rPr>
          <w:sz w:val="22"/>
          <w:szCs w:val="22"/>
        </w:rPr>
        <w:t>поїхати</w:t>
      </w:r>
      <w:proofErr w:type="spellEnd"/>
      <w:r w:rsidRPr="00EF2DB5">
        <w:rPr>
          <w:sz w:val="22"/>
          <w:szCs w:val="22"/>
        </w:rPr>
        <w:t xml:space="preserve"> за кордон на </w:t>
      </w:r>
      <w:proofErr w:type="spellStart"/>
      <w:r w:rsidRPr="00EF2DB5">
        <w:rPr>
          <w:sz w:val="22"/>
          <w:szCs w:val="22"/>
        </w:rPr>
        <w:t>постійне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місце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проживання</w:t>
      </w:r>
      <w:proofErr w:type="spellEnd"/>
      <w:r w:rsidRPr="00EF2DB5">
        <w:rPr>
          <w:sz w:val="22"/>
          <w:szCs w:val="22"/>
        </w:rPr>
        <w:t xml:space="preserve">, 61 % не </w:t>
      </w:r>
      <w:proofErr w:type="spellStart"/>
      <w:r w:rsidRPr="00EF2DB5">
        <w:rPr>
          <w:sz w:val="22"/>
          <w:szCs w:val="22"/>
        </w:rPr>
        <w:t>виявили</w:t>
      </w:r>
      <w:proofErr w:type="spellEnd"/>
      <w:r w:rsidRPr="00EF2DB5">
        <w:rPr>
          <w:sz w:val="22"/>
          <w:szCs w:val="22"/>
        </w:rPr>
        <w:t xml:space="preserve"> такого </w:t>
      </w:r>
      <w:proofErr w:type="spellStart"/>
      <w:r w:rsidRPr="00EF2DB5">
        <w:rPr>
          <w:sz w:val="22"/>
          <w:szCs w:val="22"/>
        </w:rPr>
        <w:t>бажання</w:t>
      </w:r>
      <w:proofErr w:type="spellEnd"/>
      <w:r w:rsidRPr="00EF2DB5">
        <w:rPr>
          <w:sz w:val="22"/>
          <w:szCs w:val="22"/>
        </w:rPr>
        <w:t xml:space="preserve">, </w:t>
      </w:r>
      <w:proofErr w:type="spellStart"/>
      <w:r w:rsidRPr="00EF2DB5">
        <w:rPr>
          <w:sz w:val="22"/>
          <w:szCs w:val="22"/>
        </w:rPr>
        <w:t>ще</w:t>
      </w:r>
      <w:proofErr w:type="spellEnd"/>
      <w:r w:rsidRPr="00EF2DB5">
        <w:rPr>
          <w:sz w:val="22"/>
          <w:szCs w:val="22"/>
        </w:rPr>
        <w:t xml:space="preserve"> 4 % – не </w:t>
      </w:r>
      <w:proofErr w:type="spellStart"/>
      <w:r w:rsidRPr="00EF2DB5">
        <w:rPr>
          <w:sz w:val="22"/>
          <w:szCs w:val="22"/>
        </w:rPr>
        <w:t>визначилися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із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відповіддю</w:t>
      </w:r>
      <w:proofErr w:type="spellEnd"/>
      <w:r w:rsidRPr="00EF2DB5">
        <w:rPr>
          <w:sz w:val="22"/>
          <w:szCs w:val="22"/>
        </w:rPr>
        <w:t xml:space="preserve">. У </w:t>
      </w:r>
      <w:proofErr w:type="spellStart"/>
      <w:r w:rsidRPr="00EF2DB5">
        <w:rPr>
          <w:sz w:val="22"/>
          <w:szCs w:val="22"/>
        </w:rPr>
        <w:t>регіональному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розрізі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найбільше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осіб</w:t>
      </w:r>
      <w:proofErr w:type="spellEnd"/>
      <w:r w:rsidRPr="00EF2DB5">
        <w:rPr>
          <w:sz w:val="22"/>
          <w:szCs w:val="22"/>
        </w:rPr>
        <w:t xml:space="preserve">, </w:t>
      </w:r>
      <w:proofErr w:type="spellStart"/>
      <w:r w:rsidRPr="00EF2DB5">
        <w:rPr>
          <w:sz w:val="22"/>
          <w:szCs w:val="22"/>
        </w:rPr>
        <w:t>хто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бажав</w:t>
      </w:r>
      <w:proofErr w:type="spellEnd"/>
      <w:r w:rsidRPr="00EF2DB5">
        <w:rPr>
          <w:sz w:val="22"/>
          <w:szCs w:val="22"/>
        </w:rPr>
        <w:t xml:space="preserve"> би </w:t>
      </w:r>
      <w:proofErr w:type="spellStart"/>
      <w:r w:rsidRPr="00EF2DB5">
        <w:rPr>
          <w:sz w:val="22"/>
          <w:szCs w:val="22"/>
        </w:rPr>
        <w:t>змінити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місце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проживання</w:t>
      </w:r>
      <w:proofErr w:type="spellEnd"/>
      <w:r w:rsidRPr="00EF2DB5">
        <w:rPr>
          <w:sz w:val="22"/>
          <w:szCs w:val="22"/>
        </w:rPr>
        <w:t xml:space="preserve">, </w:t>
      </w:r>
      <w:proofErr w:type="spellStart"/>
      <w:r w:rsidRPr="00EF2DB5">
        <w:rPr>
          <w:sz w:val="22"/>
          <w:szCs w:val="22"/>
        </w:rPr>
        <w:t>походять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із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західних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регіонів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країни</w:t>
      </w:r>
      <w:proofErr w:type="spellEnd"/>
      <w:r w:rsidRPr="00EF2DB5">
        <w:rPr>
          <w:sz w:val="22"/>
          <w:szCs w:val="22"/>
        </w:rPr>
        <w:t xml:space="preserve"> (41 %), на </w:t>
      </w:r>
      <w:proofErr w:type="spellStart"/>
      <w:r w:rsidRPr="00EF2DB5">
        <w:rPr>
          <w:sz w:val="22"/>
          <w:szCs w:val="22"/>
        </w:rPr>
        <w:t>півдні</w:t>
      </w:r>
      <w:proofErr w:type="spellEnd"/>
      <w:r w:rsidRPr="00EF2DB5">
        <w:rPr>
          <w:sz w:val="22"/>
          <w:szCs w:val="22"/>
        </w:rPr>
        <w:t xml:space="preserve"> таких 34 %, у </w:t>
      </w:r>
      <w:proofErr w:type="spellStart"/>
      <w:r w:rsidRPr="00EF2DB5">
        <w:rPr>
          <w:sz w:val="22"/>
          <w:szCs w:val="22"/>
        </w:rPr>
        <w:t>центрі</w:t>
      </w:r>
      <w:proofErr w:type="spellEnd"/>
      <w:r w:rsidRPr="00EF2DB5">
        <w:rPr>
          <w:sz w:val="22"/>
          <w:szCs w:val="22"/>
        </w:rPr>
        <w:t xml:space="preserve"> – 33 %, на </w:t>
      </w:r>
      <w:proofErr w:type="spellStart"/>
      <w:r w:rsidRPr="00EF2DB5">
        <w:rPr>
          <w:sz w:val="22"/>
          <w:szCs w:val="22"/>
        </w:rPr>
        <w:t>сході</w:t>
      </w:r>
      <w:proofErr w:type="spellEnd"/>
      <w:r w:rsidRPr="00EF2DB5">
        <w:rPr>
          <w:sz w:val="22"/>
          <w:szCs w:val="22"/>
        </w:rPr>
        <w:t xml:space="preserve"> – 33 %. </w:t>
      </w:r>
      <w:proofErr w:type="spellStart"/>
      <w:r w:rsidRPr="00EF2DB5">
        <w:rPr>
          <w:sz w:val="22"/>
          <w:szCs w:val="22"/>
        </w:rPr>
        <w:t>Серед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молоді</w:t>
      </w:r>
      <w:proofErr w:type="spellEnd"/>
      <w:r w:rsidRPr="00EF2DB5">
        <w:rPr>
          <w:sz w:val="22"/>
          <w:szCs w:val="22"/>
        </w:rPr>
        <w:t xml:space="preserve"> (18 – 35 </w:t>
      </w:r>
      <w:proofErr w:type="spellStart"/>
      <w:r w:rsidRPr="00EF2DB5">
        <w:rPr>
          <w:sz w:val="22"/>
          <w:szCs w:val="22"/>
        </w:rPr>
        <w:t>років</w:t>
      </w:r>
      <w:proofErr w:type="spellEnd"/>
      <w:r w:rsidRPr="00EF2DB5">
        <w:rPr>
          <w:sz w:val="22"/>
          <w:szCs w:val="22"/>
        </w:rPr>
        <w:t xml:space="preserve">) </w:t>
      </w:r>
      <w:proofErr w:type="spellStart"/>
      <w:r w:rsidRPr="00EF2DB5">
        <w:rPr>
          <w:sz w:val="22"/>
          <w:szCs w:val="22"/>
        </w:rPr>
        <w:t>кількість</w:t>
      </w:r>
      <w:proofErr w:type="spellEnd"/>
      <w:r w:rsidRPr="00EF2DB5">
        <w:rPr>
          <w:sz w:val="22"/>
          <w:szCs w:val="22"/>
        </w:rPr>
        <w:t xml:space="preserve"> тих, </w:t>
      </w:r>
      <w:proofErr w:type="spellStart"/>
      <w:r w:rsidRPr="00EF2DB5">
        <w:rPr>
          <w:sz w:val="22"/>
          <w:szCs w:val="22"/>
        </w:rPr>
        <w:t>хто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має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бажання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переїхати</w:t>
      </w:r>
      <w:proofErr w:type="spellEnd"/>
      <w:r w:rsidRPr="00EF2DB5">
        <w:rPr>
          <w:sz w:val="22"/>
          <w:szCs w:val="22"/>
        </w:rPr>
        <w:t xml:space="preserve"> на </w:t>
      </w:r>
      <w:proofErr w:type="spellStart"/>
      <w:r w:rsidRPr="00EF2DB5">
        <w:rPr>
          <w:sz w:val="22"/>
          <w:szCs w:val="22"/>
        </w:rPr>
        <w:t>постійне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місце</w:t>
      </w:r>
      <w:proofErr w:type="spellEnd"/>
      <w:r w:rsidRPr="00EF2DB5">
        <w:rPr>
          <w:sz w:val="22"/>
          <w:szCs w:val="22"/>
        </w:rPr>
        <w:t xml:space="preserve">  </w:t>
      </w:r>
      <w:proofErr w:type="spellStart"/>
      <w:r w:rsidRPr="00EF2DB5">
        <w:rPr>
          <w:sz w:val="22"/>
          <w:szCs w:val="22"/>
        </w:rPr>
        <w:t>проживання</w:t>
      </w:r>
      <w:proofErr w:type="spellEnd"/>
      <w:r w:rsidRPr="00EF2DB5">
        <w:rPr>
          <w:sz w:val="22"/>
          <w:szCs w:val="22"/>
        </w:rPr>
        <w:t xml:space="preserve"> за кордон, – 54 %. </w:t>
      </w:r>
      <w:proofErr w:type="spellStart"/>
      <w:r w:rsidRPr="00EF2DB5">
        <w:rPr>
          <w:sz w:val="22"/>
          <w:szCs w:val="22"/>
        </w:rPr>
        <w:t>Натомість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серед</w:t>
      </w:r>
      <w:proofErr w:type="spellEnd"/>
      <w:r w:rsidRPr="00EF2DB5">
        <w:rPr>
          <w:sz w:val="22"/>
          <w:szCs w:val="22"/>
        </w:rPr>
        <w:t xml:space="preserve"> старшого </w:t>
      </w:r>
      <w:proofErr w:type="spellStart"/>
      <w:r w:rsidRPr="00EF2DB5">
        <w:rPr>
          <w:sz w:val="22"/>
          <w:szCs w:val="22"/>
        </w:rPr>
        <w:t>покоління</w:t>
      </w:r>
      <w:proofErr w:type="spellEnd"/>
      <w:r w:rsidRPr="00EF2DB5">
        <w:rPr>
          <w:sz w:val="22"/>
          <w:szCs w:val="22"/>
        </w:rPr>
        <w:t xml:space="preserve"> таких </w:t>
      </w:r>
      <w:proofErr w:type="spellStart"/>
      <w:r w:rsidRPr="00EF2DB5">
        <w:rPr>
          <w:sz w:val="22"/>
          <w:szCs w:val="22"/>
        </w:rPr>
        <w:t>лише</w:t>
      </w:r>
      <w:proofErr w:type="spellEnd"/>
      <w:r w:rsidRPr="00EF2DB5">
        <w:rPr>
          <w:sz w:val="22"/>
          <w:szCs w:val="22"/>
        </w:rPr>
        <w:t xml:space="preserve"> 19 %. </w:t>
      </w:r>
      <w:proofErr w:type="spellStart"/>
      <w:r w:rsidRPr="00EF2DB5">
        <w:rPr>
          <w:sz w:val="22"/>
          <w:szCs w:val="22"/>
        </w:rPr>
        <w:t>Дещо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більше</w:t>
      </w:r>
      <w:proofErr w:type="spellEnd"/>
      <w:r w:rsidRPr="00EF2DB5">
        <w:rPr>
          <w:sz w:val="22"/>
          <w:szCs w:val="22"/>
        </w:rPr>
        <w:t xml:space="preserve"> тих, </w:t>
      </w:r>
      <w:proofErr w:type="spellStart"/>
      <w:r w:rsidRPr="00EF2DB5">
        <w:rPr>
          <w:sz w:val="22"/>
          <w:szCs w:val="22"/>
        </w:rPr>
        <w:t>хто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висловлює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бажання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емігрувати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серед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осіб</w:t>
      </w:r>
      <w:proofErr w:type="spellEnd"/>
      <w:r w:rsidRPr="00EF2DB5">
        <w:rPr>
          <w:sz w:val="22"/>
          <w:szCs w:val="22"/>
        </w:rPr>
        <w:t xml:space="preserve"> з </w:t>
      </w:r>
      <w:proofErr w:type="spellStart"/>
      <w:r w:rsidRPr="00EF2DB5">
        <w:rPr>
          <w:sz w:val="22"/>
          <w:szCs w:val="22"/>
        </w:rPr>
        <w:t>вищою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освітою</w:t>
      </w:r>
      <w:proofErr w:type="spellEnd"/>
      <w:r w:rsidRPr="00EF2DB5">
        <w:rPr>
          <w:sz w:val="22"/>
          <w:szCs w:val="22"/>
        </w:rPr>
        <w:t xml:space="preserve"> та </w:t>
      </w:r>
      <w:proofErr w:type="spellStart"/>
      <w:r w:rsidRPr="00EF2DB5">
        <w:rPr>
          <w:sz w:val="22"/>
          <w:szCs w:val="22"/>
        </w:rPr>
        <w:t>більш</w:t>
      </w:r>
      <w:proofErr w:type="spellEnd"/>
      <w:r w:rsidRPr="00EF2DB5">
        <w:rPr>
          <w:sz w:val="22"/>
          <w:szCs w:val="22"/>
        </w:rPr>
        <w:t xml:space="preserve"> </w:t>
      </w:r>
      <w:proofErr w:type="spellStart"/>
      <w:r w:rsidRPr="00EF2DB5">
        <w:rPr>
          <w:sz w:val="22"/>
          <w:szCs w:val="22"/>
        </w:rPr>
        <w:t>заможних</w:t>
      </w:r>
      <w:proofErr w:type="spellEnd"/>
      <w:r w:rsidRPr="00EF2DB5">
        <w:rPr>
          <w:sz w:val="22"/>
          <w:szCs w:val="22"/>
        </w:rPr>
        <w:t>.</w:t>
      </w:r>
    </w:p>
    <w:p w:rsidR="00EF2DB5" w:rsidRDefault="00EF2DB5" w:rsidP="005D02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EF2DB5">
        <w:rPr>
          <w:rFonts w:ascii="Times New Roman" w:hAnsi="Times New Roman" w:cs="Times New Roman"/>
          <w:color w:val="000000"/>
          <w:lang w:val="uk-UA"/>
        </w:rPr>
        <w:t xml:space="preserve">Державна служба статистки України наводить власні дані щодо масштабів вибуття та прибуття мігрантів в Україні. </w:t>
      </w:r>
      <w:r w:rsidR="005D0250">
        <w:rPr>
          <w:rFonts w:ascii="Times New Roman" w:hAnsi="Times New Roman" w:cs="Times New Roman"/>
          <w:color w:val="000000"/>
          <w:lang w:val="uk-UA"/>
        </w:rPr>
        <w:t>З</w:t>
      </w:r>
      <w:r w:rsidRPr="00EF2DB5">
        <w:rPr>
          <w:rFonts w:ascii="Times New Roman" w:hAnsi="Times New Roman" w:cs="Times New Roman"/>
          <w:color w:val="000000"/>
          <w:lang w:val="uk-UA"/>
        </w:rPr>
        <w:t xml:space="preserve"> 2005 року в Україні спостерігається додатне сальдо зовнішньої міграції. З 2012 року спостерігається щорічне скорочення міграційного приросту населення через зменшення притоку працівників в Україну та зростання обсягів еміграції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:rsidR="00354E6E" w:rsidRPr="00EF2DB5" w:rsidRDefault="00354E6E" w:rsidP="005D025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проведення групування регіонів України за рівнем мобільності робочої сили визначено середній показник с</w:t>
      </w:r>
      <w:r w:rsidRPr="004F3A5A">
        <w:rPr>
          <w:rFonts w:ascii="Times New Roman" w:hAnsi="Times New Roman" w:cs="Times New Roman"/>
          <w:lang w:val="uk-UA"/>
        </w:rPr>
        <w:t>альдо міграці</w:t>
      </w:r>
      <w:r>
        <w:rPr>
          <w:rFonts w:ascii="Times New Roman" w:hAnsi="Times New Roman" w:cs="Times New Roman"/>
          <w:lang w:val="uk-UA"/>
        </w:rPr>
        <w:t>ї</w:t>
      </w:r>
      <w:r w:rsidRPr="004F3A5A">
        <w:rPr>
          <w:rFonts w:ascii="Times New Roman" w:hAnsi="Times New Roman" w:cs="Times New Roman"/>
          <w:lang w:val="uk-UA"/>
        </w:rPr>
        <w:t xml:space="preserve"> населення (</w:t>
      </w:r>
      <w:r>
        <w:rPr>
          <w:rFonts w:ascii="Times New Roman" w:hAnsi="Times New Roman" w:cs="Times New Roman"/>
          <w:lang w:val="uk-UA"/>
        </w:rPr>
        <w:t>за всіма потоками) за три останні роки (2016-2018рр.), а результати представлено у таблиці 1</w:t>
      </w:r>
      <w:r w:rsidRPr="004F3A5A">
        <w:rPr>
          <w:rFonts w:ascii="Times New Roman" w:hAnsi="Times New Roman" w:cs="Times New Roman"/>
          <w:lang w:val="uk-UA"/>
        </w:rPr>
        <w:t>.</w:t>
      </w:r>
    </w:p>
    <w:p w:rsidR="00354E6E" w:rsidRPr="004F3A5A" w:rsidRDefault="00354E6E" w:rsidP="00354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результаті за підсумками проведеного групування р</w:t>
      </w:r>
      <w:r w:rsidRPr="004F3A5A">
        <w:rPr>
          <w:rFonts w:ascii="Times New Roman" w:hAnsi="Times New Roman" w:cs="Times New Roman"/>
          <w:lang w:val="uk-UA"/>
        </w:rPr>
        <w:t>егіони України за середнім показником сальдо міграці</w:t>
      </w:r>
      <w:r>
        <w:rPr>
          <w:rFonts w:ascii="Times New Roman" w:hAnsi="Times New Roman" w:cs="Times New Roman"/>
          <w:lang w:val="uk-UA"/>
        </w:rPr>
        <w:t>ї</w:t>
      </w:r>
      <w:r w:rsidRPr="004F3A5A">
        <w:rPr>
          <w:rFonts w:ascii="Times New Roman" w:hAnsi="Times New Roman" w:cs="Times New Roman"/>
          <w:lang w:val="uk-UA"/>
        </w:rPr>
        <w:t xml:space="preserve"> населення (</w:t>
      </w:r>
      <w:r>
        <w:rPr>
          <w:rFonts w:ascii="Times New Roman" w:hAnsi="Times New Roman" w:cs="Times New Roman"/>
          <w:lang w:val="uk-UA"/>
        </w:rPr>
        <w:t>за всіма потоками) протягом 2016</w:t>
      </w:r>
      <w:r w:rsidRPr="004F3A5A">
        <w:rPr>
          <w:rFonts w:ascii="Times New Roman" w:hAnsi="Times New Roman" w:cs="Times New Roman"/>
          <w:lang w:val="uk-UA"/>
        </w:rPr>
        <w:t>–2018 рр. поділ</w:t>
      </w:r>
      <w:r>
        <w:rPr>
          <w:rFonts w:ascii="Times New Roman" w:hAnsi="Times New Roman" w:cs="Times New Roman"/>
          <w:lang w:val="uk-UA"/>
        </w:rPr>
        <w:t>ено</w:t>
      </w:r>
      <w:r w:rsidRPr="004F3A5A">
        <w:rPr>
          <w:rFonts w:ascii="Times New Roman" w:hAnsi="Times New Roman" w:cs="Times New Roman"/>
          <w:lang w:val="uk-UA"/>
        </w:rPr>
        <w:t xml:space="preserve"> на три групи:</w:t>
      </w:r>
    </w:p>
    <w:p w:rsidR="00354E6E" w:rsidRPr="004F3A5A" w:rsidRDefault="00354E6E" w:rsidP="00354E6E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F3A5A">
        <w:rPr>
          <w:rFonts w:ascii="Times New Roman" w:hAnsi="Times New Roman" w:cs="Times New Roman"/>
          <w:lang w:val="uk-UA"/>
        </w:rPr>
        <w:t xml:space="preserve">регіони із високою мобільністю – Київська область, Харківська, місто Київ; </w:t>
      </w:r>
    </w:p>
    <w:p w:rsidR="00354E6E" w:rsidRPr="004F3A5A" w:rsidRDefault="00354E6E" w:rsidP="00354E6E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F3A5A">
        <w:rPr>
          <w:rFonts w:ascii="Times New Roman" w:hAnsi="Times New Roman" w:cs="Times New Roman"/>
          <w:lang w:val="uk-UA"/>
        </w:rPr>
        <w:t xml:space="preserve">регіони з середнім рівнем мобільності – Дніпропетровська, Івано-Франківська, Львівська, Полтавська, Чернівецька області; </w:t>
      </w:r>
    </w:p>
    <w:p w:rsidR="00354E6E" w:rsidRPr="004F3A5A" w:rsidRDefault="00354E6E" w:rsidP="00354E6E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F3A5A">
        <w:rPr>
          <w:rFonts w:ascii="Times New Roman" w:hAnsi="Times New Roman" w:cs="Times New Roman"/>
          <w:lang w:val="uk-UA"/>
        </w:rPr>
        <w:t>регіони низьким рівнем мобільності – Вінницька, Донецька, Житомирська, Закарпатська, Запорізька, Кіровоградська, Луганська, Миколаївська, Рівненська, Сумська, Тернопільська, Херсонська, Хмельницька, Че</w:t>
      </w:r>
      <w:r>
        <w:rPr>
          <w:rFonts w:ascii="Times New Roman" w:hAnsi="Times New Roman" w:cs="Times New Roman"/>
          <w:lang w:val="uk-UA"/>
        </w:rPr>
        <w:t>ркаська та Чернігівська області</w:t>
      </w:r>
      <w:r w:rsidRPr="004F3A5A">
        <w:rPr>
          <w:rFonts w:ascii="Times New Roman" w:hAnsi="Times New Roman" w:cs="Times New Roman"/>
          <w:lang w:val="uk-UA"/>
        </w:rPr>
        <w:t>.</w:t>
      </w:r>
    </w:p>
    <w:p w:rsidR="004F3A5A" w:rsidRDefault="005D0250" w:rsidP="005D025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Таблиця 1</w:t>
      </w:r>
    </w:p>
    <w:p w:rsidR="004F3A5A" w:rsidRPr="004F3A5A" w:rsidRDefault="004F3A5A" w:rsidP="005D025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color w:val="000000"/>
          <w:lang w:val="uk-UA"/>
        </w:rPr>
        <w:t xml:space="preserve">Рівень мобільності </w:t>
      </w:r>
      <w:r w:rsidRPr="004F3A5A">
        <w:rPr>
          <w:rFonts w:ascii="Times New Roman" w:hAnsi="Times New Roman" w:cs="Times New Roman"/>
          <w:bCs/>
          <w:color w:val="000000"/>
          <w:lang w:val="uk-UA"/>
        </w:rPr>
        <w:t xml:space="preserve">у розрізі регіонів України </w:t>
      </w:r>
      <w:r>
        <w:rPr>
          <w:rFonts w:ascii="Times New Roman" w:hAnsi="Times New Roman" w:cs="Times New Roman"/>
          <w:bCs/>
          <w:color w:val="000000"/>
          <w:lang w:val="uk-UA"/>
        </w:rPr>
        <w:t>за 2016</w:t>
      </w:r>
      <w:r w:rsidRPr="004F3A5A">
        <w:rPr>
          <w:rFonts w:ascii="Times New Roman" w:hAnsi="Times New Roman" w:cs="Times New Roman"/>
          <w:bCs/>
          <w:color w:val="000000"/>
          <w:lang w:val="uk-UA"/>
        </w:rPr>
        <w:t>-2018 рр.</w:t>
      </w:r>
    </w:p>
    <w:tbl>
      <w:tblPr>
        <w:tblW w:w="611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006"/>
        <w:gridCol w:w="992"/>
        <w:gridCol w:w="992"/>
        <w:gridCol w:w="993"/>
        <w:gridCol w:w="1134"/>
      </w:tblGrid>
      <w:tr w:rsidR="004F3A5A" w:rsidRPr="00354E6E" w:rsidTr="00F45D5C">
        <w:trPr>
          <w:trHeight w:val="35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Регіон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Сальдо міграції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 показники сальдо</w:t>
            </w:r>
          </w:p>
        </w:tc>
      </w:tr>
      <w:tr w:rsidR="004F3A5A" w:rsidRPr="00EB50A2" w:rsidTr="00F45D5C">
        <w:trPr>
          <w:trHeight w:val="224"/>
        </w:trPr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F3A5A" w:rsidRPr="00EB50A2" w:rsidTr="004F3A5A">
        <w:trPr>
          <w:trHeight w:val="224"/>
        </w:trPr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Україна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-148,87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-262,58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-389,72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-284,803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Вінницька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-1,27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Волинська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-0,38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1,45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-2,73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Житомирська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-0,65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-0,57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Запорізька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-0,95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3A6D3E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highlight w:val="lightGray"/>
                <w:lang w:eastAsia="ru-RU"/>
              </w:rPr>
              <w:pict>
                <v:rect id="_x0000_s1043" style="position:absolute;left:0;text-align:left;margin-left:203pt;margin-top:7.75pt;width:97.15pt;height:23.3pt;z-index:251679744;mso-position-horizontal-relative:text;mso-position-vertical-relative:text" strokecolor="white [3212]">
                  <v:textbox style="mso-next-textbox:#_x0000_s1043">
                    <w:txbxContent>
                      <w:p w:rsidR="00F45D5C" w:rsidRPr="0051719F" w:rsidRDefault="00F45D5C" w:rsidP="004F3A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171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Високий рівень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lightGray"/>
                <w:lang w:eastAsia="ru-RU"/>
              </w:rPr>
              <w:pict>
                <v:rect id="_x0000_s1038" style="position:absolute;left:0;text-align:left;margin-left:110.8pt;margin-top:5.5pt;width:82.55pt;height:25.4pt;z-index:251674624;mso-position-horizontal-relative:text;mso-position-vertical-relative:text" fillcolor="#404040 [2429]" strokecolor="#666 [1936]" strokeweight="1pt">
                  <v:fill color2="#404040 [2429]" focus="100%" type="gradient"/>
                  <v:shadow on="t" type="perspective" color="#7f7f7f [1601]" opacity=".5" offset="1pt" offset2="-3pt"/>
                </v:rect>
              </w:pict>
            </w:r>
            <w:r w:rsidR="004F3A5A"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0,77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Київська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15,463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10,53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-1,14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3A6D3E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_x0000_s1042" style="position:absolute;left:0;text-align:left;margin-left:203pt;margin-top:8.6pt;width:105.6pt;height:23.3pt;z-index:251678720;mso-position-horizontal-relative:text;mso-position-vertical-relative:text" strokecolor="white [3212]">
                  <v:textbox style="mso-next-textbox:#_x0000_s1042">
                    <w:txbxContent>
                      <w:p w:rsidR="00F45D5C" w:rsidRPr="0051719F" w:rsidRDefault="00F45D5C" w:rsidP="004F3A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171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Середній рівень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_x0000_s1039" style="position:absolute;left:0;text-align:left;margin-left:110.8pt;margin-top:7pt;width:82.55pt;height:25.4pt;z-index:251675648;mso-position-horizontal-relative:text;mso-position-vertical-relative:text" fillcolor="gray [1629]" strokecolor="gray [1629]" strokeweight="1pt">
                  <v:fill color2="gray [1629]" angle="-45" focus="-50%" type="gradient"/>
                  <v:shadow on="t" type="perspective" color="#7f7f7f [1601]" opacity=".5" offset="1pt" offset2="-3pt"/>
                </v:rect>
              </w:pict>
            </w:r>
            <w:r w:rsidR="004F3A5A"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-3,75</w:t>
            </w:r>
          </w:p>
        </w:tc>
      </w:tr>
      <w:tr w:rsidR="004F3A5A" w:rsidRPr="00EB50A2" w:rsidTr="004F3A5A">
        <w:trPr>
          <w:trHeight w:val="25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0,99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Миколаївська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-1,949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-0,82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1,422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1,99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3,246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1,80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Полтавська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0,054</w:t>
            </w:r>
          </w:p>
        </w:tc>
        <w:tc>
          <w:tcPr>
            <w:tcW w:w="1134" w:type="dxa"/>
            <w:vAlign w:val="bottom"/>
          </w:tcPr>
          <w:p w:rsidR="004F3A5A" w:rsidRPr="00EB50A2" w:rsidRDefault="003A6D3E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highlight w:val="lightGray"/>
                <w:lang w:eastAsia="ru-RU"/>
              </w:rPr>
              <w:pict>
                <v:rect id="_x0000_s1045" style="position:absolute;left:0;text-align:left;margin-left:203pt;margin-top:-.95pt;width:97.15pt;height:23.7pt;z-index:251682816;mso-position-horizontal-relative:text;mso-position-vertical-relative:text" strokecolor="white [3212]">
                  <v:textbox style="mso-next-textbox:#_x0000_s1045">
                    <w:txbxContent>
                      <w:p w:rsidR="00F45D5C" w:rsidRPr="0051719F" w:rsidRDefault="00F45D5C" w:rsidP="004F3A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171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Низький рівень</w:t>
                        </w:r>
                      </w:p>
                      <w:p w:rsidR="00F45D5C" w:rsidRPr="0051719F" w:rsidRDefault="00F45D5C" w:rsidP="004F3A5A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highlight w:val="lightGray"/>
                <w:lang w:eastAsia="ru-RU"/>
              </w:rPr>
              <w:pict>
                <v:rect id="_x0000_s1044" style="position:absolute;left:0;text-align:left;margin-left:110.8pt;margin-top:-.55pt;width:82.55pt;height:23.3pt;z-index:251681792;mso-position-horizontal-relative:text;mso-position-vertical-relative:text"/>
              </w:pict>
            </w:r>
            <w:r w:rsidR="004F3A5A"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0,18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Рівненська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-1,898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-0,90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1,041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-1,937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-0,56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Тернопільська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0,033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-0,48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Харківська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0,296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4,50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1,699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2,27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Херсонська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-2,62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-2,184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-1,37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Хмельницька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-0,526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-0,86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-1,681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-2,040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-0,80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Чернівецька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0,246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0,55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Чернігівська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-1,875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-0,98</w:t>
            </w:r>
          </w:p>
        </w:tc>
      </w:tr>
      <w:tr w:rsidR="004F3A5A" w:rsidRPr="00EB50A2" w:rsidTr="004F3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006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м.Київ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4,622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1,46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4,805</w:t>
            </w:r>
          </w:p>
        </w:tc>
        <w:tc>
          <w:tcPr>
            <w:tcW w:w="1134" w:type="dxa"/>
            <w:vAlign w:val="bottom"/>
          </w:tcPr>
          <w:p w:rsidR="004F3A5A" w:rsidRPr="00EB50A2" w:rsidRDefault="004F3A5A" w:rsidP="00EB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  <w:t>4,14</w:t>
            </w:r>
          </w:p>
        </w:tc>
      </w:tr>
    </w:tbl>
    <w:p w:rsidR="004F3A5A" w:rsidRPr="005D0250" w:rsidRDefault="005D0250" w:rsidP="004F3A5A">
      <w:pPr>
        <w:spacing w:after="0" w:line="36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Джерело. Складено автора</w:t>
      </w:r>
      <w:r w:rsidR="004F3A5A" w:rsidRPr="005D0250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и</w:t>
      </w:r>
      <w:r w:rsidR="004F3A5A" w:rsidRPr="005D0250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861B17" w:rsidRPr="00354E6E" w:rsidRDefault="00354E6E" w:rsidP="005D02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54E6E">
        <w:rPr>
          <w:rFonts w:ascii="Times New Roman" w:hAnsi="Times New Roman" w:cs="Times New Roman"/>
          <w:sz w:val="18"/>
          <w:szCs w:val="18"/>
          <w:lang w:val="uk-UA"/>
        </w:rPr>
        <w:t>Критерії групування регіонів України за рівнем мобільності робочої сили:</w:t>
      </w:r>
    </w:p>
    <w:p w:rsidR="005D0250" w:rsidRPr="00354E6E" w:rsidRDefault="003A6D3E" w:rsidP="005D02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</w:r>
      <w:r>
        <w:rPr>
          <w:rFonts w:ascii="Times New Roman" w:hAnsi="Times New Roman" w:cs="Times New Roman"/>
          <w:sz w:val="18"/>
          <w:szCs w:val="18"/>
          <w:lang w:val="uk-UA"/>
        </w:rPr>
        <w:pict>
          <v:rect id="_x0000_s1048" style="width:53.4pt;height:9.4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5D0250" w:rsidRPr="00354E6E">
        <w:rPr>
          <w:rFonts w:ascii="Times New Roman" w:hAnsi="Times New Roman" w:cs="Times New Roman"/>
          <w:sz w:val="18"/>
          <w:szCs w:val="18"/>
          <w:lang w:val="uk-UA"/>
        </w:rPr>
        <w:t xml:space="preserve"> - </w:t>
      </w:r>
      <w:r w:rsidR="00354E6E" w:rsidRPr="00354E6E">
        <w:rPr>
          <w:rFonts w:ascii="Times New Roman" w:hAnsi="Times New Roman" w:cs="Times New Roman"/>
          <w:sz w:val="18"/>
          <w:szCs w:val="18"/>
          <w:lang w:val="uk-UA"/>
        </w:rPr>
        <w:t>низький рівень мобільності;</w:t>
      </w:r>
    </w:p>
    <w:p w:rsidR="005D0250" w:rsidRPr="00354E6E" w:rsidRDefault="003A6D3E" w:rsidP="005D02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</w:r>
      <w:r>
        <w:rPr>
          <w:rFonts w:ascii="Times New Roman" w:hAnsi="Times New Roman" w:cs="Times New Roman"/>
          <w:sz w:val="18"/>
          <w:szCs w:val="18"/>
          <w:lang w:val="uk-UA"/>
        </w:rPr>
        <w:pict>
          <v:rect id="_x0000_s1047" style="width:52.35pt;height:7.15pt;mso-left-percent:-10001;mso-top-percent:-10001;mso-position-horizontal:absolute;mso-position-horizontal-relative:char;mso-position-vertical:absolute;mso-position-vertical-relative:line;mso-left-percent:-10001;mso-top-percent:-10001" fillcolor="gray [1629]" strokecolor="gray [1629]" strokeweight="1pt">
            <v:fill color2="gray [1629]" angle="-45" focus="-50%" type="gradient"/>
            <v:shadow on="t" type="perspective" color="#7f7f7f [1601]" opacity=".5" offset="1pt" offset2="-3pt"/>
            <w10:anchorlock/>
          </v:rect>
        </w:pict>
      </w:r>
      <w:r w:rsidR="005D0250" w:rsidRPr="00354E6E">
        <w:rPr>
          <w:rFonts w:ascii="Times New Roman" w:hAnsi="Times New Roman" w:cs="Times New Roman"/>
          <w:sz w:val="18"/>
          <w:szCs w:val="18"/>
          <w:lang w:val="uk-UA"/>
        </w:rPr>
        <w:t xml:space="preserve"> - середній рівень мобільності</w:t>
      </w:r>
      <w:r w:rsidR="00354E6E" w:rsidRPr="00354E6E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5D0250" w:rsidRPr="00354E6E" w:rsidRDefault="003A6D3E" w:rsidP="005D02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</w:r>
      <w:r>
        <w:rPr>
          <w:rFonts w:ascii="Times New Roman" w:hAnsi="Times New Roman" w:cs="Times New Roman"/>
          <w:sz w:val="18"/>
          <w:szCs w:val="18"/>
          <w:lang w:val="uk-UA"/>
        </w:rPr>
        <w:pict>
          <v:rect id="_x0000_s1046" style="width:52.8pt;height:9.5pt;mso-left-percent:-10001;mso-top-percent:-10001;mso-position-horizontal:absolute;mso-position-horizontal-relative:char;mso-position-vertical:absolute;mso-position-vertical-relative:line;mso-left-percent:-10001;mso-top-percent:-10001" fillcolor="#404040 [2429]" strokecolor="#666 [1936]" strokeweight="1pt">
            <v:fill color2="#404040 [2429]" focus="100%" type="gradient"/>
            <v:shadow on="t" type="perspective" color="#7f7f7f [1601]" opacity=".5" offset="1pt" offset2="-3pt"/>
            <w10:anchorlock/>
          </v:rect>
        </w:pict>
      </w:r>
      <w:r w:rsidR="005D0250" w:rsidRPr="00354E6E">
        <w:rPr>
          <w:rFonts w:ascii="Times New Roman" w:hAnsi="Times New Roman" w:cs="Times New Roman"/>
          <w:sz w:val="18"/>
          <w:szCs w:val="18"/>
          <w:lang w:val="uk-UA"/>
        </w:rPr>
        <w:t xml:space="preserve"> - </w:t>
      </w:r>
      <w:r w:rsidR="00354E6E" w:rsidRPr="00354E6E">
        <w:rPr>
          <w:rFonts w:ascii="Times New Roman" w:hAnsi="Times New Roman" w:cs="Times New Roman"/>
          <w:sz w:val="18"/>
          <w:szCs w:val="18"/>
          <w:lang w:val="uk-UA"/>
        </w:rPr>
        <w:t>високий рівень мобільності.</w:t>
      </w:r>
    </w:p>
    <w:p w:rsidR="005D0250" w:rsidRDefault="005D0250" w:rsidP="005D02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3A5A" w:rsidRDefault="004F3A5A" w:rsidP="004F3A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F3A5A">
        <w:rPr>
          <w:rFonts w:ascii="Times New Roman" w:hAnsi="Times New Roman" w:cs="Times New Roman"/>
          <w:lang w:val="uk-UA"/>
        </w:rPr>
        <w:t>Отже, основними донорами мігрантів для інших регіонів України і світу були Вінницька, Донецька, Кіровоградська, Луганська, Херсонська</w:t>
      </w:r>
      <w:r w:rsidR="00354E6E">
        <w:rPr>
          <w:rFonts w:ascii="Times New Roman" w:hAnsi="Times New Roman" w:cs="Times New Roman"/>
          <w:lang w:val="uk-UA"/>
        </w:rPr>
        <w:t xml:space="preserve"> </w:t>
      </w:r>
      <w:r w:rsidRPr="004F3A5A">
        <w:rPr>
          <w:rFonts w:ascii="Times New Roman" w:hAnsi="Times New Roman" w:cs="Times New Roman"/>
          <w:lang w:val="uk-UA"/>
        </w:rPr>
        <w:t>області.</w:t>
      </w:r>
    </w:p>
    <w:p w:rsidR="004E2504" w:rsidRDefault="00354E6E" w:rsidP="004F3A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основі проведеного групування у таблиці 2 представлено </w:t>
      </w:r>
      <w:r w:rsidR="004E2504">
        <w:rPr>
          <w:rFonts w:ascii="Times New Roman" w:hAnsi="Times New Roman" w:cs="Times New Roman"/>
          <w:lang w:val="uk-UA"/>
        </w:rPr>
        <w:t xml:space="preserve">заходи регулювання мобільності </w:t>
      </w:r>
      <w:r>
        <w:rPr>
          <w:rFonts w:ascii="Times New Roman" w:hAnsi="Times New Roman" w:cs="Times New Roman"/>
          <w:lang w:val="uk-UA"/>
        </w:rPr>
        <w:t>робочої сили для кожної із виділених груп</w:t>
      </w:r>
      <w:r w:rsidR="004E2504">
        <w:rPr>
          <w:rFonts w:ascii="Times New Roman" w:hAnsi="Times New Roman" w:cs="Times New Roman"/>
          <w:lang w:val="uk-UA"/>
        </w:rPr>
        <w:t>.</w:t>
      </w:r>
    </w:p>
    <w:p w:rsidR="004E2504" w:rsidRDefault="005D0250" w:rsidP="004E2504">
      <w:pPr>
        <w:spacing w:after="0" w:line="240" w:lineRule="auto"/>
        <w:ind w:firstLine="567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2</w:t>
      </w:r>
    </w:p>
    <w:p w:rsidR="004E2504" w:rsidRPr="004E2504" w:rsidRDefault="004E2504" w:rsidP="004E2504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4E2504">
        <w:rPr>
          <w:rFonts w:ascii="Times New Roman" w:hAnsi="Times New Roman" w:cs="Times New Roman"/>
          <w:lang w:val="uk-UA"/>
        </w:rPr>
        <w:t>аходи регулювання мобільності в залежності від рівня мобільності</w:t>
      </w:r>
    </w:p>
    <w:tbl>
      <w:tblPr>
        <w:tblStyle w:val="a9"/>
        <w:tblW w:w="620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</w:tblGrid>
      <w:tr w:rsidR="004E2504" w:rsidRPr="00EB50A2" w:rsidTr="005D0250">
        <w:trPr>
          <w:trHeight w:val="219"/>
        </w:trPr>
        <w:tc>
          <w:tcPr>
            <w:tcW w:w="1242" w:type="dxa"/>
            <w:vAlign w:val="center"/>
          </w:tcPr>
          <w:p w:rsidR="004E2504" w:rsidRPr="00EB50A2" w:rsidRDefault="004E2504" w:rsidP="004E25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мобільності</w:t>
            </w:r>
          </w:p>
        </w:tc>
        <w:tc>
          <w:tcPr>
            <w:tcW w:w="1843" w:type="dxa"/>
            <w:vAlign w:val="center"/>
          </w:tcPr>
          <w:p w:rsidR="004E2504" w:rsidRPr="00EB50A2" w:rsidRDefault="004E2504" w:rsidP="004E25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Регіони</w:t>
            </w:r>
          </w:p>
        </w:tc>
        <w:tc>
          <w:tcPr>
            <w:tcW w:w="3119" w:type="dxa"/>
            <w:vAlign w:val="center"/>
          </w:tcPr>
          <w:p w:rsidR="004E2504" w:rsidRPr="00EB50A2" w:rsidRDefault="004E2504" w:rsidP="00354E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Заходи </w:t>
            </w:r>
            <w:r w:rsidR="00354E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регулювання</w:t>
            </w:r>
          </w:p>
        </w:tc>
      </w:tr>
      <w:tr w:rsidR="004E2504" w:rsidRPr="00EB50A2" w:rsidTr="005D0250">
        <w:tc>
          <w:tcPr>
            <w:tcW w:w="1242" w:type="dxa"/>
            <w:vAlign w:val="center"/>
          </w:tcPr>
          <w:p w:rsidR="004E2504" w:rsidRPr="00EB50A2" w:rsidRDefault="004E2504" w:rsidP="004E25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Низький</w:t>
            </w:r>
          </w:p>
        </w:tc>
        <w:tc>
          <w:tcPr>
            <w:tcW w:w="1843" w:type="dxa"/>
            <w:vAlign w:val="center"/>
          </w:tcPr>
          <w:p w:rsidR="004E2504" w:rsidRPr="00EB50A2" w:rsidRDefault="004E2504" w:rsidP="004E25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Вінницька, Донецька, Житомирська, Закарпатська, Запорізька, Кіровоградська, Луганська, Миколаївська, Рівненська, Сумська, Тернопільська, Херсонська, Хмельницька, Черкаська та Чернігівська область</w:t>
            </w:r>
          </w:p>
        </w:tc>
        <w:tc>
          <w:tcPr>
            <w:tcW w:w="3119" w:type="dxa"/>
          </w:tcPr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збільшувати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створювати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нові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робочі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місця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підвищувати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заробітні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плати до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рівня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Києва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проводити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до потреб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роботодавців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рахунок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держави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в першу</w:t>
            </w:r>
            <w:proofErr w:type="gram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чергу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працевлаштовувати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тих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громодян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зареєстровані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центрі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зайнятості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провести</w:t>
            </w:r>
            <w:r w:rsidR="00354E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матеріальних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вигод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0250" w:rsidRPr="00EB50A2" w:rsidTr="005D0250">
        <w:tc>
          <w:tcPr>
            <w:tcW w:w="1242" w:type="dxa"/>
            <w:vMerge w:val="restart"/>
            <w:vAlign w:val="center"/>
          </w:tcPr>
          <w:p w:rsidR="005D0250" w:rsidRPr="00EB50A2" w:rsidRDefault="005D0250" w:rsidP="004E25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1843" w:type="dxa"/>
            <w:vMerge w:val="restart"/>
            <w:vAlign w:val="center"/>
          </w:tcPr>
          <w:p w:rsidR="005D0250" w:rsidRPr="00EB50A2" w:rsidRDefault="005D0250" w:rsidP="004E250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Дніпропетровська, Івано-Франківська, Львівська, Полтавська, Чернівецька область</w:t>
            </w:r>
          </w:p>
        </w:tc>
        <w:tc>
          <w:tcPr>
            <w:tcW w:w="3119" w:type="dxa"/>
          </w:tcPr>
          <w:p w:rsidR="005D0250" w:rsidRPr="00EB50A2" w:rsidRDefault="005D0250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збільшувати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0250" w:rsidRPr="00EB50A2" w:rsidRDefault="005D0250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створення сприятливих умов для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смозайнятого</w:t>
            </w:r>
            <w:proofErr w:type="spellEnd"/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населення;</w:t>
            </w:r>
          </w:p>
          <w:p w:rsidR="005D0250" w:rsidRPr="00EB50A2" w:rsidRDefault="005D0250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сприяти підвищенню конкурентоспроможності робочої сили;</w:t>
            </w:r>
          </w:p>
        </w:tc>
      </w:tr>
      <w:tr w:rsidR="005D0250" w:rsidRPr="00EB50A2" w:rsidTr="005D0250">
        <w:tc>
          <w:tcPr>
            <w:tcW w:w="1242" w:type="dxa"/>
            <w:vMerge/>
            <w:vAlign w:val="center"/>
          </w:tcPr>
          <w:p w:rsidR="005D0250" w:rsidRPr="00EB50A2" w:rsidRDefault="005D0250" w:rsidP="005D02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5D0250" w:rsidRPr="00EB50A2" w:rsidRDefault="005D0250" w:rsidP="00F45D5C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</w:tcPr>
          <w:p w:rsidR="005D0250" w:rsidRPr="00EB50A2" w:rsidRDefault="005D0250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та збереження робочих місць;</w:t>
            </w:r>
          </w:p>
          <w:p w:rsidR="005D0250" w:rsidRPr="00EB50A2" w:rsidRDefault="005D0250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житлом працівників при переїзді до регіонів де не вистачає робочої сили.</w:t>
            </w:r>
          </w:p>
        </w:tc>
      </w:tr>
      <w:tr w:rsidR="004E2504" w:rsidRPr="00EB50A2" w:rsidTr="005D0250">
        <w:tc>
          <w:tcPr>
            <w:tcW w:w="1242" w:type="dxa"/>
            <w:vAlign w:val="center"/>
          </w:tcPr>
          <w:p w:rsidR="004E2504" w:rsidRPr="00EB50A2" w:rsidRDefault="004E2504" w:rsidP="00F45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1843" w:type="dxa"/>
            <w:vAlign w:val="center"/>
          </w:tcPr>
          <w:p w:rsidR="005D0250" w:rsidRDefault="004E2504" w:rsidP="005D0250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Київська область, Харківська, </w:t>
            </w:r>
          </w:p>
          <w:p w:rsidR="004E2504" w:rsidRPr="00EB50A2" w:rsidRDefault="004E2504" w:rsidP="005D0250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5D02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Київ </w:t>
            </w:r>
          </w:p>
        </w:tc>
        <w:tc>
          <w:tcPr>
            <w:tcW w:w="3119" w:type="dxa"/>
          </w:tcPr>
          <w:p w:rsidR="004E2504" w:rsidRPr="005D0250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зберегти досягнутий рівень</w:t>
            </w:r>
            <w:r w:rsidRPr="005D02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4E2504" w:rsidRPr="005D0250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та збереження робочих місць;</w:t>
            </w:r>
          </w:p>
          <w:p w:rsidR="004E2504" w:rsidRPr="00EB50A2" w:rsidRDefault="004E2504" w:rsidP="00354E6E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0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подавати пропозиції регіонам з низьким рівнем мобільності.</w:t>
            </w:r>
          </w:p>
        </w:tc>
      </w:tr>
    </w:tbl>
    <w:p w:rsidR="004E2504" w:rsidRPr="005D0250" w:rsidRDefault="005D0250" w:rsidP="004E2504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5D0250">
        <w:rPr>
          <w:rFonts w:ascii="Times New Roman" w:hAnsi="Times New Roman" w:cs="Times New Roman"/>
          <w:sz w:val="18"/>
          <w:szCs w:val="18"/>
          <w:lang w:val="uk-UA"/>
        </w:rPr>
        <w:t>Примітка. Складено автора</w:t>
      </w:r>
      <w:r w:rsidR="004E2504" w:rsidRPr="005D0250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5D0250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="004E2504" w:rsidRPr="005D0250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56F91" w:rsidRDefault="004E2504" w:rsidP="0075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4E2504">
        <w:rPr>
          <w:rFonts w:ascii="Times New Roman" w:hAnsi="Times New Roman" w:cs="Times New Roman"/>
          <w:b/>
          <w:lang w:val="uk-UA"/>
        </w:rPr>
        <w:t>Висновки.</w:t>
      </w:r>
      <w:r w:rsidR="005D0250">
        <w:rPr>
          <w:rFonts w:ascii="Verdana" w:hAnsi="Verdana"/>
          <w:color w:val="000000"/>
          <w:sz w:val="34"/>
          <w:szCs w:val="34"/>
          <w:shd w:val="clear" w:color="auto" w:fill="FFFFFF"/>
          <w:lang w:val="uk-UA"/>
        </w:rPr>
        <w:t xml:space="preserve"> </w:t>
      </w:r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="00354E6E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теперішніх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умовах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географічна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трудова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мобільність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працівник</w:t>
      </w:r>
      <w:r w:rsidR="00354E6E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ів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54E6E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в Україні є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досить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низька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Основними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</w:t>
      </w:r>
      <w:r w:rsidR="00354E6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решкодами</w:t>
      </w:r>
      <w:proofErr w:type="spellEnd"/>
      <w:r w:rsidR="00354E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є </w:t>
      </w:r>
      <w:proofErr w:type="spellStart"/>
      <w:r w:rsidR="00354E6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адміністративні</w:t>
      </w:r>
      <w:proofErr w:type="spellEnd"/>
      <w:r w:rsidR="00354E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бар</w:t>
      </w:r>
      <w:r w:rsidR="00354E6E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’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єри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нерозвиненість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соціальних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програм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і ринку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житла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відсутність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або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важкодоступність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актуальної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інформації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вакансії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Крім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того,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істотно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обмежують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переміщення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робочої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сили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низькі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доходи.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Однак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варто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враховувати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невисока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територіальна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рухливість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означає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відсутності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працівників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бажання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шукати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нову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роботу і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змінити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підприємство</w:t>
      </w:r>
      <w:proofErr w:type="spellEnd"/>
      <w:r w:rsidR="00756F91" w:rsidRPr="00756F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756F91" w:rsidRPr="00F45D5C" w:rsidRDefault="00F45D5C" w:rsidP="00F45D5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45D5C">
        <w:rPr>
          <w:rFonts w:ascii="Times New Roman" w:hAnsi="Times New Roman" w:cs="Times New Roman"/>
          <w:lang w:val="uk-UA"/>
        </w:rPr>
        <w:t>Державна підтримка жителів віддалених регіонів просто необхідна для їх виживання, враховуючи, що прірва між економічним розвитком благополучних і відсталих регіонів розширюється.</w:t>
      </w:r>
      <w:r w:rsidR="00354E6E">
        <w:rPr>
          <w:rFonts w:ascii="Times New Roman" w:hAnsi="Times New Roman" w:cs="Times New Roman"/>
          <w:lang w:val="uk-UA"/>
        </w:rPr>
        <w:t xml:space="preserve"> </w:t>
      </w:r>
      <w:r w:rsidR="00756F91" w:rsidRPr="00F45D5C">
        <w:rPr>
          <w:rFonts w:ascii="Times New Roman" w:hAnsi="Times New Roman" w:cs="Times New Roman"/>
          <w:lang w:val="uk-UA"/>
        </w:rPr>
        <w:t xml:space="preserve">Крім вибору програм допомоги жителям депресивних регіонів, зусилля держави мають бути сконцентровані на підтримці ринкових інститутів </w:t>
      </w:r>
      <w:r w:rsidR="00354E6E">
        <w:rPr>
          <w:rFonts w:ascii="Times New Roman" w:hAnsi="Times New Roman" w:cs="Times New Roman"/>
          <w:lang w:val="uk-UA"/>
        </w:rPr>
        <w:t>–</w:t>
      </w:r>
      <w:r w:rsidR="00756F91" w:rsidRPr="00F45D5C">
        <w:rPr>
          <w:rFonts w:ascii="Times New Roman" w:hAnsi="Times New Roman" w:cs="Times New Roman"/>
          <w:lang w:val="uk-UA"/>
        </w:rPr>
        <w:t xml:space="preserve"> ринку житла та іпотечного кредитування, а також перепідготовка мігрантів і надання їм інформації про можливості в інших регіонах. Ще більш важливо не зберігати і не зводити штучні перепони на шляху вільної мобільності, що створюють поле для корупції. Знищення економічних і адміністративних перешкод до мобільності створить здорову конкуренцію між регіонами і навіть муніципалітетами, завдяки якій з'являться стимули для більш ефективного надання суспільних благ регіональними та місцевими органами влади (освіта, охорона здоров'я, правопорядок, інфраструктура та ін.).</w:t>
      </w:r>
    </w:p>
    <w:p w:rsidR="004E2504" w:rsidRPr="00392147" w:rsidRDefault="004E2504" w:rsidP="003921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45D5C" w:rsidRPr="00675AE9" w:rsidRDefault="00675AE9" w:rsidP="00392147">
      <w:pPr>
        <w:pStyle w:val="a5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Штундер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</w:t>
      </w:r>
      <w:r w:rsidR="00F45D5C" w:rsidRPr="00392147">
        <w:rPr>
          <w:rFonts w:ascii="Times New Roman" w:hAnsi="Times New Roman" w:cs="Times New Roman"/>
          <w:sz w:val="18"/>
          <w:szCs w:val="18"/>
          <w:lang w:val="uk-UA"/>
        </w:rPr>
        <w:t>О.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45D5C" w:rsidRPr="00392147">
        <w:rPr>
          <w:rFonts w:ascii="Times New Roman" w:hAnsi="Times New Roman" w:cs="Times New Roman"/>
          <w:sz w:val="18"/>
          <w:szCs w:val="18"/>
          <w:lang w:val="uk-UA"/>
        </w:rPr>
        <w:t xml:space="preserve">Мобільність робочої сили як засіб забезпечення ефективної зайнятості. </w:t>
      </w:r>
      <w:r w:rsidR="00F45D5C" w:rsidRPr="00675AE9">
        <w:rPr>
          <w:rFonts w:ascii="Times New Roman" w:hAnsi="Times New Roman" w:cs="Times New Roman"/>
          <w:i/>
          <w:sz w:val="18"/>
          <w:szCs w:val="18"/>
          <w:lang w:val="uk-UA"/>
        </w:rPr>
        <w:t>Вчені записки університету «КРОК». Сер. Економіка</w:t>
      </w:r>
      <w:r w:rsidR="00F45D5C" w:rsidRPr="0039214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F45D5C" w:rsidRPr="00675AE9">
        <w:rPr>
          <w:rFonts w:ascii="Times New Roman" w:hAnsi="Times New Roman" w:cs="Times New Roman"/>
          <w:sz w:val="18"/>
          <w:szCs w:val="18"/>
          <w:lang w:val="uk-UA"/>
        </w:rPr>
        <w:t xml:space="preserve"> 2013. Вип. 34. С. 114‒122.</w:t>
      </w:r>
    </w:p>
    <w:p w:rsidR="00F45D5C" w:rsidRPr="00392147" w:rsidRDefault="00675AE9" w:rsidP="00392147">
      <w:pPr>
        <w:pStyle w:val="a5"/>
        <w:numPr>
          <w:ilvl w:val="0"/>
          <w:numId w:val="7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45D5C" w:rsidRPr="00392147">
        <w:rPr>
          <w:rFonts w:ascii="Times New Roman" w:hAnsi="Times New Roman" w:cs="Times New Roman"/>
          <w:sz w:val="18"/>
          <w:szCs w:val="18"/>
        </w:rPr>
        <w:fldChar w:fldCharType="begin"/>
      </w:r>
      <w:r w:rsidR="00F45D5C" w:rsidRPr="00392147">
        <w:rPr>
          <w:rFonts w:ascii="Times New Roman" w:hAnsi="Times New Roman" w:cs="Times New Roman"/>
          <w:sz w:val="18"/>
          <w:szCs w:val="18"/>
        </w:rPr>
        <w:instrText xml:space="preserve"> HYPERLINK "http://www.ukrstat.gov.ua/" </w:instrText>
      </w:r>
      <w:r w:rsidR="00F45D5C" w:rsidRPr="00392147">
        <w:rPr>
          <w:rFonts w:ascii="Times New Roman" w:hAnsi="Times New Roman" w:cs="Times New Roman"/>
          <w:sz w:val="18"/>
          <w:szCs w:val="18"/>
        </w:rPr>
        <w:fldChar w:fldCharType="separate"/>
      </w:r>
      <w:r w:rsidR="00F45D5C" w:rsidRPr="00392147">
        <w:rPr>
          <w:rStyle w:val="s3uucc"/>
          <w:rFonts w:ascii="Times New Roman" w:hAnsi="Times New Roman" w:cs="Times New Roman"/>
          <w:bCs/>
          <w:sz w:val="18"/>
          <w:szCs w:val="18"/>
          <w:shd w:val="clear" w:color="auto" w:fill="FFFFFF"/>
        </w:rPr>
        <w:t>Державна служба статистики України</w:t>
      </w:r>
      <w:r w:rsidR="00F45D5C" w:rsidRPr="00392147">
        <w:rPr>
          <w:rStyle w:val="s3uucc"/>
          <w:rFonts w:ascii="Times New Roman" w:hAnsi="Times New Roman" w:cs="Times New Roman"/>
          <w:bCs/>
          <w:sz w:val="18"/>
          <w:szCs w:val="18"/>
          <w:shd w:val="clear" w:color="auto" w:fill="FFFFFF"/>
          <w:lang w:val="uk-UA"/>
        </w:rPr>
        <w:t>:</w:t>
      </w:r>
      <w:r w:rsidR="00F45D5C" w:rsidRPr="00392147">
        <w:rPr>
          <w:rFonts w:ascii="Times New Roman" w:hAnsi="Times New Roman" w:cs="Times New Roman"/>
          <w:sz w:val="18"/>
          <w:szCs w:val="18"/>
        </w:rPr>
        <w:t xml:space="preserve"> веб-сайт. URL:</w:t>
      </w:r>
      <w:r w:rsidR="00F45D5C" w:rsidRPr="00392147">
        <w:rPr>
          <w:rStyle w:val="s3uucc"/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uk-UA"/>
        </w:rPr>
        <w:t xml:space="preserve"> </w:t>
      </w:r>
      <w:hyperlink r:id="rId6" w:history="1">
        <w:r w:rsidR="00F45D5C" w:rsidRPr="00392147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http://www.ukrstat.gov.ua/</w:t>
        </w:r>
      </w:hyperlink>
    </w:p>
    <w:p w:rsidR="00F45D5C" w:rsidRPr="00392147" w:rsidRDefault="00F45D5C" w:rsidP="00392147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392147">
        <w:rPr>
          <w:rFonts w:ascii="Times New Roman" w:hAnsi="Times New Roman" w:cs="Times New Roman"/>
          <w:sz w:val="18"/>
          <w:szCs w:val="18"/>
        </w:rPr>
        <w:fldChar w:fldCharType="end"/>
      </w:r>
      <w:r w:rsidRPr="00392147">
        <w:rPr>
          <w:rFonts w:ascii="Times New Roman" w:hAnsi="Times New Roman" w:cs="Times New Roman"/>
          <w:sz w:val="18"/>
          <w:szCs w:val="18"/>
          <w:lang w:val="uk-UA"/>
        </w:rPr>
        <w:t xml:space="preserve"> Праця</w:t>
      </w:r>
      <w:r w:rsidRPr="003921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2147">
        <w:rPr>
          <w:rFonts w:ascii="Times New Roman" w:hAnsi="Times New Roman" w:cs="Times New Roman"/>
          <w:sz w:val="18"/>
          <w:szCs w:val="18"/>
        </w:rPr>
        <w:t>Україн</w:t>
      </w:r>
      <w:proofErr w:type="spellEnd"/>
      <w:r w:rsidRPr="0039214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392147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Pr="00392147">
        <w:rPr>
          <w:rFonts w:ascii="Times New Roman" w:eastAsia="Calibri" w:hAnsi="Times New Roman" w:cs="Times New Roman"/>
          <w:sz w:val="18"/>
          <w:szCs w:val="18"/>
        </w:rPr>
        <w:t>статистичний</w:t>
      </w:r>
      <w:proofErr w:type="spellEnd"/>
      <w:r w:rsidRPr="003921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2147">
        <w:rPr>
          <w:rFonts w:ascii="Times New Roman" w:eastAsia="Calibri" w:hAnsi="Times New Roman" w:cs="Times New Roman"/>
          <w:sz w:val="18"/>
          <w:szCs w:val="18"/>
        </w:rPr>
        <w:t>збірник</w:t>
      </w:r>
      <w:proofErr w:type="spellEnd"/>
      <w:r w:rsidRPr="003921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Pr="00392147">
        <w:rPr>
          <w:rFonts w:ascii="Times New Roman" w:eastAsia="Calibri" w:hAnsi="Times New Roman" w:cs="Times New Roman"/>
          <w:sz w:val="18"/>
          <w:szCs w:val="18"/>
        </w:rPr>
        <w:t>Державна</w:t>
      </w:r>
      <w:proofErr w:type="spellEnd"/>
      <w:r w:rsidRPr="00392147">
        <w:rPr>
          <w:rFonts w:ascii="Times New Roman" w:hAnsi="Times New Roman" w:cs="Times New Roman"/>
          <w:sz w:val="18"/>
          <w:szCs w:val="18"/>
        </w:rPr>
        <w:t xml:space="preserve"> служба статистики </w:t>
      </w:r>
      <w:proofErr w:type="spellStart"/>
      <w:r w:rsidRPr="00392147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392147">
        <w:rPr>
          <w:rFonts w:ascii="Times New Roman" w:hAnsi="Times New Roman" w:cs="Times New Roman"/>
          <w:sz w:val="18"/>
          <w:szCs w:val="18"/>
        </w:rPr>
        <w:t>, 201</w:t>
      </w:r>
      <w:r w:rsidRPr="00392147">
        <w:rPr>
          <w:rFonts w:ascii="Times New Roman" w:hAnsi="Times New Roman" w:cs="Times New Roman"/>
          <w:sz w:val="18"/>
          <w:szCs w:val="18"/>
          <w:lang w:val="uk-UA"/>
        </w:rPr>
        <w:t>7</w:t>
      </w:r>
      <w:r w:rsidRPr="00392147">
        <w:rPr>
          <w:rFonts w:ascii="Times New Roman" w:eastAsia="Calibri" w:hAnsi="Times New Roman" w:cs="Times New Roman"/>
          <w:sz w:val="18"/>
          <w:szCs w:val="18"/>
        </w:rPr>
        <w:t>.</w:t>
      </w:r>
      <w:r w:rsidRPr="0039214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282 с.</w:t>
      </w:r>
    </w:p>
    <w:p w:rsidR="00A85E0C" w:rsidRPr="00392147" w:rsidRDefault="00675AE9" w:rsidP="00392147">
      <w:pPr>
        <w:pStyle w:val="a5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85E0C" w:rsidRPr="00392147">
        <w:rPr>
          <w:rFonts w:ascii="Times New Roman" w:hAnsi="Times New Roman" w:cs="Times New Roman"/>
          <w:sz w:val="18"/>
          <w:szCs w:val="18"/>
          <w:lang w:val="uk-UA"/>
        </w:rPr>
        <w:t>Праця</w:t>
      </w:r>
      <w:r w:rsidR="00A85E0C" w:rsidRPr="003921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85E0C" w:rsidRPr="00392147">
        <w:rPr>
          <w:rFonts w:ascii="Times New Roman" w:hAnsi="Times New Roman" w:cs="Times New Roman"/>
          <w:sz w:val="18"/>
          <w:szCs w:val="18"/>
        </w:rPr>
        <w:t>Україн</w:t>
      </w:r>
      <w:proofErr w:type="spellEnd"/>
      <w:r w:rsidR="00A85E0C" w:rsidRPr="0039214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="00A85E0C" w:rsidRPr="00392147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="00A85E0C" w:rsidRPr="00392147">
        <w:rPr>
          <w:rFonts w:ascii="Times New Roman" w:eastAsia="Calibri" w:hAnsi="Times New Roman" w:cs="Times New Roman"/>
          <w:sz w:val="18"/>
          <w:szCs w:val="18"/>
        </w:rPr>
        <w:t>статистичний</w:t>
      </w:r>
      <w:proofErr w:type="spellEnd"/>
      <w:r w:rsidR="00A85E0C" w:rsidRPr="003921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85E0C" w:rsidRPr="00392147">
        <w:rPr>
          <w:rFonts w:ascii="Times New Roman" w:eastAsia="Calibri" w:hAnsi="Times New Roman" w:cs="Times New Roman"/>
          <w:sz w:val="18"/>
          <w:szCs w:val="18"/>
        </w:rPr>
        <w:t>збірник</w:t>
      </w:r>
      <w:proofErr w:type="spellEnd"/>
      <w:r w:rsidR="00A85E0C" w:rsidRPr="003921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="00A85E0C" w:rsidRPr="00392147">
        <w:rPr>
          <w:rFonts w:ascii="Times New Roman" w:eastAsia="Calibri" w:hAnsi="Times New Roman" w:cs="Times New Roman"/>
          <w:sz w:val="18"/>
          <w:szCs w:val="18"/>
        </w:rPr>
        <w:t>Державна</w:t>
      </w:r>
      <w:proofErr w:type="spellEnd"/>
      <w:r w:rsidR="00A85E0C" w:rsidRPr="00392147">
        <w:rPr>
          <w:rFonts w:ascii="Times New Roman" w:hAnsi="Times New Roman" w:cs="Times New Roman"/>
          <w:sz w:val="18"/>
          <w:szCs w:val="18"/>
        </w:rPr>
        <w:t xml:space="preserve"> служба статистики </w:t>
      </w:r>
      <w:proofErr w:type="spellStart"/>
      <w:r w:rsidR="00A85E0C" w:rsidRPr="00392147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="00A85E0C" w:rsidRPr="00392147">
        <w:rPr>
          <w:rFonts w:ascii="Times New Roman" w:hAnsi="Times New Roman" w:cs="Times New Roman"/>
          <w:sz w:val="18"/>
          <w:szCs w:val="18"/>
        </w:rPr>
        <w:t>, 201</w:t>
      </w:r>
      <w:r w:rsidR="00A85E0C" w:rsidRPr="00392147">
        <w:rPr>
          <w:rFonts w:ascii="Times New Roman" w:hAnsi="Times New Roman" w:cs="Times New Roman"/>
          <w:sz w:val="18"/>
          <w:szCs w:val="18"/>
          <w:lang w:val="uk-UA"/>
        </w:rPr>
        <w:t>0</w:t>
      </w:r>
      <w:r w:rsidR="00A85E0C" w:rsidRPr="0039214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A85E0C" w:rsidRPr="00392147">
        <w:rPr>
          <w:rFonts w:ascii="Times New Roman" w:eastAsia="Calibri" w:hAnsi="Times New Roman" w:cs="Times New Roman"/>
          <w:sz w:val="18"/>
          <w:szCs w:val="18"/>
          <w:lang w:val="uk-UA"/>
        </w:rPr>
        <w:t>325 с.</w:t>
      </w:r>
    </w:p>
    <w:p w:rsidR="00F45D5C" w:rsidRPr="00392147" w:rsidRDefault="00675AE9" w:rsidP="00392147">
      <w:pPr>
        <w:pStyle w:val="a5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18"/>
          <w:szCs w:val="18"/>
          <w:lang w:val="uk-UA"/>
        </w:rPr>
      </w:pPr>
      <w:r>
        <w:rPr>
          <w:rFonts w:ascii="Times New Roman" w:eastAsia="TimesNewRomanPS-ItalicMT" w:hAnsi="Times New Roman" w:cs="Times New Roman"/>
          <w:iCs/>
          <w:sz w:val="18"/>
          <w:szCs w:val="18"/>
          <w:lang w:val="uk-UA"/>
        </w:rPr>
        <w:t xml:space="preserve"> </w:t>
      </w:r>
      <w:proofErr w:type="spellStart"/>
      <w:r w:rsidR="00A85E0C" w:rsidRPr="00392147">
        <w:rPr>
          <w:rFonts w:ascii="Times New Roman" w:eastAsia="TimesNewRomanPS-ItalicMT" w:hAnsi="Times New Roman" w:cs="Times New Roman"/>
          <w:iCs/>
          <w:sz w:val="18"/>
          <w:szCs w:val="18"/>
          <w:lang w:val="uk-UA"/>
        </w:rPr>
        <w:t>Тілікіна</w:t>
      </w:r>
      <w:proofErr w:type="spellEnd"/>
      <w:r w:rsidR="00A85E0C" w:rsidRPr="00392147">
        <w:rPr>
          <w:rFonts w:ascii="Times New Roman" w:eastAsia="TimesNewRomanPS-ItalicMT" w:hAnsi="Times New Roman" w:cs="Times New Roman"/>
          <w:iCs/>
          <w:sz w:val="18"/>
          <w:szCs w:val="18"/>
          <w:lang w:val="uk-UA"/>
        </w:rPr>
        <w:t xml:space="preserve"> Н.В</w:t>
      </w:r>
      <w:r w:rsidR="00A85E0C" w:rsidRPr="00392147">
        <w:rPr>
          <w:rFonts w:ascii="Times New Roman" w:eastAsia="TimesNewRomanPS-ItalicMT" w:hAnsi="Times New Roman" w:cs="Times New Roman"/>
          <w:i/>
          <w:iCs/>
          <w:sz w:val="18"/>
          <w:szCs w:val="18"/>
          <w:lang w:val="uk-UA"/>
        </w:rPr>
        <w:t xml:space="preserve">. </w:t>
      </w:r>
      <w:r w:rsidR="00A85E0C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>Територіальна мобільність робочої сили як об’єкт</w:t>
      </w:r>
      <w:r w:rsidR="00392147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 xml:space="preserve"> </w:t>
      </w:r>
      <w:r w:rsidR="00A85E0C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>державного регулювання. Збірник центру наукових публікацій «Велес» за</w:t>
      </w:r>
      <w:r w:rsidR="00392147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 xml:space="preserve"> </w:t>
      </w:r>
      <w:r w:rsidR="00A85E0C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>матеріалами ІІ міжнародної науково-практичної конференції: «Весняні наукові читання». Київ: Центр наукових публі</w:t>
      </w:r>
      <w:r w:rsid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>кацій, 2016. С. 91–96</w:t>
      </w:r>
      <w:r w:rsidR="00A85E0C" w:rsidRPr="00392147">
        <w:rPr>
          <w:rFonts w:ascii="Times New Roman" w:eastAsia="TimesNewRomanPSMT" w:hAnsi="Times New Roman" w:cs="Times New Roman"/>
          <w:sz w:val="18"/>
          <w:szCs w:val="18"/>
          <w:lang w:val="uk-UA"/>
        </w:rPr>
        <w:t>.</w:t>
      </w:r>
    </w:p>
    <w:sectPr w:rsidR="00F45D5C" w:rsidRPr="00392147" w:rsidSect="00C3281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99D"/>
    <w:multiLevelType w:val="hybridMultilevel"/>
    <w:tmpl w:val="F84C1A36"/>
    <w:lvl w:ilvl="0" w:tplc="658A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7D28"/>
    <w:multiLevelType w:val="multilevel"/>
    <w:tmpl w:val="527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57E50"/>
    <w:multiLevelType w:val="hybridMultilevel"/>
    <w:tmpl w:val="29B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6A1E"/>
    <w:multiLevelType w:val="hybridMultilevel"/>
    <w:tmpl w:val="C4184D78"/>
    <w:lvl w:ilvl="0" w:tplc="658A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1753"/>
    <w:multiLevelType w:val="hybridMultilevel"/>
    <w:tmpl w:val="2DFC7BD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104B"/>
    <w:multiLevelType w:val="hybridMultilevel"/>
    <w:tmpl w:val="2DFC7BD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71B5"/>
    <w:multiLevelType w:val="hybridMultilevel"/>
    <w:tmpl w:val="2DFC7BD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E317D"/>
    <w:multiLevelType w:val="hybridMultilevel"/>
    <w:tmpl w:val="A4D63DB4"/>
    <w:lvl w:ilvl="0" w:tplc="658A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206C"/>
    <w:multiLevelType w:val="hybridMultilevel"/>
    <w:tmpl w:val="DADEFE3E"/>
    <w:lvl w:ilvl="0" w:tplc="658AD4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65"/>
    <w:rsid w:val="001C75CE"/>
    <w:rsid w:val="00354E6E"/>
    <w:rsid w:val="00392147"/>
    <w:rsid w:val="003A6D3E"/>
    <w:rsid w:val="00410D5D"/>
    <w:rsid w:val="004E2504"/>
    <w:rsid w:val="004F3A5A"/>
    <w:rsid w:val="005D0250"/>
    <w:rsid w:val="00654165"/>
    <w:rsid w:val="00675AE9"/>
    <w:rsid w:val="00756F91"/>
    <w:rsid w:val="0084648E"/>
    <w:rsid w:val="00861B17"/>
    <w:rsid w:val="00906939"/>
    <w:rsid w:val="00935B62"/>
    <w:rsid w:val="009452F8"/>
    <w:rsid w:val="00A85E0C"/>
    <w:rsid w:val="00C32813"/>
    <w:rsid w:val="00DF5AE8"/>
    <w:rsid w:val="00E072BD"/>
    <w:rsid w:val="00EB50A2"/>
    <w:rsid w:val="00EF2DB5"/>
    <w:rsid w:val="00F25A75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A85590"/>
  <w15:docId w15:val="{1819F13B-9538-46CA-8063-4EB0D63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16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6541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B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1B1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EF2D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F2DB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EF2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8"/>
    <w:rsid w:val="00EF2D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756F91"/>
    <w:rPr>
      <w:b/>
      <w:bCs/>
    </w:rPr>
  </w:style>
  <w:style w:type="paragraph" w:styleId="ab">
    <w:name w:val="Normal (Web)"/>
    <w:basedOn w:val="a"/>
    <w:uiPriority w:val="99"/>
    <w:unhideWhenUsed/>
    <w:rsid w:val="00F4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45D5C"/>
    <w:rPr>
      <w:color w:val="0000FF"/>
      <w:u w:val="single"/>
    </w:rPr>
  </w:style>
  <w:style w:type="character" w:customStyle="1" w:styleId="s3uucc">
    <w:name w:val="s3uucc"/>
    <w:basedOn w:val="a0"/>
    <w:rsid w:val="00F4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76422015061965"/>
          <c:y val="4.1618592894603783E-2"/>
          <c:w val="0.73586537055178813"/>
          <c:h val="0.66765620098818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Пропозиція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0028660140657103E-4"/>
                  <c:y val="1.5518399115566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81-417D-967D-6E41A84F0EB7}"/>
                </c:ext>
              </c:extLst>
            </c:dLbl>
            <c:dLbl>
              <c:idx val="1"/>
              <c:layout>
                <c:manualLayout>
                  <c:x val="0"/>
                  <c:y val="1.2694230711655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81-417D-967D-6E41A84F0EB7}"/>
                </c:ext>
              </c:extLst>
            </c:dLbl>
            <c:dLbl>
              <c:idx val="2"/>
              <c:layout>
                <c:manualLayout>
                  <c:x val="2.7525696081729695E-2"/>
                  <c:y val="2.15178321435413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81-417D-967D-6E41A84F0EB7}"/>
                </c:ext>
              </c:extLst>
            </c:dLbl>
            <c:dLbl>
              <c:idx val="3"/>
              <c:layout>
                <c:manualLayout>
                  <c:x val="2.3148628253878553E-3"/>
                  <c:y val="3.58148092789039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81-417D-967D-6E41A84F0EB7}"/>
                </c:ext>
              </c:extLst>
            </c:dLbl>
            <c:dLbl>
              <c:idx val="4"/>
              <c:layout>
                <c:manualLayout>
                  <c:x val="0"/>
                  <c:y val="1.18838852831396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81-417D-967D-6E41A84F0EB7}"/>
                </c:ext>
              </c:extLst>
            </c:dLbl>
            <c:dLbl>
              <c:idx val="5"/>
              <c:layout>
                <c:manualLayout>
                  <c:x val="5.6712961412411899E-3"/>
                  <c:y val="-5.235043131396710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61-4C86-AFDF-C8A00C869734}"/>
                </c:ext>
              </c:extLst>
            </c:dLbl>
            <c:dLbl>
              <c:idx val="6"/>
              <c:layout>
                <c:manualLayout>
                  <c:x val="1.3412017167381975E-2"/>
                  <c:y val="8.121014340888002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81-417D-967D-6E41A84F0EB7}"/>
                </c:ext>
              </c:extLst>
            </c:dLbl>
            <c:dLbl>
              <c:idx val="7"/>
              <c:layout>
                <c:manualLayout>
                  <c:x val="9.1072308132683563E-3"/>
                  <c:y val="1.40373353383136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81-417D-967D-6E41A84F0EB7}"/>
                </c:ext>
              </c:extLst>
            </c:dLbl>
            <c:dLbl>
              <c:idx val="8"/>
              <c:layout>
                <c:manualLayout>
                  <c:x val="5.6712961412411899E-3"/>
                  <c:y val="7.32906038395543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61-4C86-AFDF-C8A00C86973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564</c:v>
                </c:pt>
                <c:pt idx="1">
                  <c:v>490.8</c:v>
                </c:pt>
                <c:pt idx="2">
                  <c:v>390.8</c:v>
                </c:pt>
                <c:pt idx="3">
                  <c:v>354.4</c:v>
                </c:pt>
                <c:pt idx="4">
                  <c:v>341.7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81-417D-967D-6E41A84F0E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Попит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5915827247854E-2"/>
                  <c:y val="6.7156947005287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D81-417D-967D-6E41A84F0EB7}"/>
                </c:ext>
              </c:extLst>
            </c:dLbl>
            <c:dLbl>
              <c:idx val="1"/>
              <c:layout>
                <c:manualLayout>
                  <c:x val="2.1575038700013559E-2"/>
                  <c:y val="-4.5848745192236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81-417D-967D-6E41A84F0EB7}"/>
                </c:ext>
              </c:extLst>
            </c:dLbl>
            <c:dLbl>
              <c:idx val="2"/>
              <c:layout>
                <c:manualLayout>
                  <c:x val="6.7060085836910715E-3"/>
                  <c:y val="7.26121734297745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D81-417D-967D-6E41A84F0EB7}"/>
                </c:ext>
              </c:extLst>
            </c:dLbl>
            <c:dLbl>
              <c:idx val="3"/>
              <c:layout>
                <c:manualLayout>
                  <c:x val="1.3650511698376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D81-417D-967D-6E41A84F0EB7}"/>
                </c:ext>
              </c:extLst>
            </c:dLbl>
            <c:dLbl>
              <c:idx val="4"/>
              <c:layout>
                <c:manualLayout>
                  <c:x val="2.2783648136540817E-2"/>
                  <c:y val="6.6840275950342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D81-417D-967D-6E41A84F0EB7}"/>
                </c:ext>
              </c:extLst>
            </c:dLbl>
            <c:dLbl>
              <c:idx val="5"/>
              <c:layout>
                <c:manualLayout>
                  <c:x val="1.1176680972818393E-2"/>
                  <c:y val="-7.92141951837769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81-417D-967D-6E41A84F0EB7}"/>
                </c:ext>
              </c:extLst>
            </c:dLbl>
            <c:dLbl>
              <c:idx val="6"/>
              <c:layout>
                <c:manualLayout>
                  <c:x val="8.9413447782546503E-3"/>
                  <c:y val="-3.9607097591888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D81-417D-967D-6E41A84F0EB7}"/>
                </c:ext>
              </c:extLst>
            </c:dLbl>
            <c:dLbl>
              <c:idx val="7"/>
              <c:layout>
                <c:manualLayout>
                  <c:x val="1.2594519741692563E-2"/>
                  <c:y val="-8.9894346936613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D81-417D-967D-6E41A84F0EB7}"/>
                </c:ext>
              </c:extLst>
            </c:dLbl>
            <c:dLbl>
              <c:idx val="8"/>
              <c:layout>
                <c:manualLayout>
                  <c:x val="5.67129614124118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61-4C86-AFDF-C8A00C8697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63.9</c:v>
                </c:pt>
                <c:pt idx="1">
                  <c:v>25.9</c:v>
                </c:pt>
                <c:pt idx="2">
                  <c:v>36</c:v>
                </c:pt>
                <c:pt idx="3">
                  <c:v>50.4</c:v>
                </c:pt>
                <c:pt idx="4">
                  <c:v>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D81-417D-967D-6E41A84F0E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5416320"/>
        <c:axId val="96825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Навантаження на 1 робоче місце</c:v>
                </c:pt>
              </c:strCache>
            </c:strRef>
          </c:tx>
          <c:dLbls>
            <c:dLbl>
              <c:idx val="0"/>
              <c:layout>
                <c:manualLayout>
                  <c:x val="-4.2534324965906025E-3"/>
                  <c:y val="5.60774126181809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A61-4C86-AFDF-C8A00C869734}"/>
                </c:ext>
              </c:extLst>
            </c:dLbl>
            <c:dLbl>
              <c:idx val="2"/>
              <c:layout>
                <c:manualLayout>
                  <c:x val="0"/>
                  <c:y val="-2.0940172525586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A61-4C86-AFDF-C8A00C869734}"/>
                </c:ext>
              </c:extLst>
            </c:dLbl>
            <c:dLbl>
              <c:idx val="3"/>
              <c:layout>
                <c:manualLayout>
                  <c:x val="5.1986280744759747E-17"/>
                  <c:y val="3.402778035407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A61-4C86-AFDF-C8A00C869734}"/>
                </c:ext>
              </c:extLst>
            </c:dLbl>
            <c:dLbl>
              <c:idx val="7"/>
              <c:layout>
                <c:manualLayout>
                  <c:x val="0"/>
                  <c:y val="-2.355769409128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61-4C86-AFDF-C8A00C8697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19</c:v>
                </c:pt>
                <c:pt idx="2">
                  <c:v>11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D81-417D-967D-6E41A84F0E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771584"/>
        <c:axId val="96825856"/>
      </c:lineChart>
      <c:catAx>
        <c:axId val="9541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crossAx val="96825280"/>
        <c:crosses val="autoZero"/>
        <c:auto val="1"/>
        <c:lblAlgn val="ctr"/>
        <c:lblOffset val="100"/>
        <c:noMultiLvlLbl val="0"/>
      </c:catAx>
      <c:valAx>
        <c:axId val="968252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Тис.осіб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crossAx val="95416320"/>
        <c:crosses val="autoZero"/>
        <c:crossBetween val="between"/>
      </c:valAx>
      <c:valAx>
        <c:axId val="968258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Кількість осіб на 1 вакантне місце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6771584"/>
        <c:crosses val="max"/>
        <c:crossBetween val="between"/>
      </c:valAx>
      <c:catAx>
        <c:axId val="96771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825856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8713</Words>
  <Characters>4967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 User</cp:lastModifiedBy>
  <cp:revision>10</cp:revision>
  <dcterms:created xsi:type="dcterms:W3CDTF">2019-12-22T19:22:00Z</dcterms:created>
  <dcterms:modified xsi:type="dcterms:W3CDTF">2019-12-23T20:15:00Z</dcterms:modified>
</cp:coreProperties>
</file>