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90D85" w14:textId="77777777" w:rsidR="00DE41FF" w:rsidRPr="00585A72" w:rsidRDefault="00DE41FF" w:rsidP="00DE41FF">
      <w:pPr>
        <w:pStyle w:val="a3"/>
        <w:spacing w:line="360" w:lineRule="auto"/>
        <w:ind w:left="0" w:firstLine="709"/>
        <w:jc w:val="right"/>
      </w:pPr>
      <w:r w:rsidRPr="00585A72">
        <w:t xml:space="preserve">Малиновський В. Я. </w:t>
      </w:r>
    </w:p>
    <w:p w14:paraId="4A28DB81" w14:textId="7C6F2345" w:rsidR="00DE41FF" w:rsidRPr="00585A72" w:rsidRDefault="00DE41FF" w:rsidP="00DE41FF">
      <w:pPr>
        <w:pStyle w:val="a3"/>
        <w:spacing w:line="360" w:lineRule="auto"/>
        <w:ind w:left="0" w:firstLine="709"/>
        <w:jc w:val="right"/>
        <w:rPr>
          <w:i/>
        </w:rPr>
      </w:pPr>
      <w:proofErr w:type="spellStart"/>
      <w:r w:rsidRPr="00585A72">
        <w:rPr>
          <w:i/>
        </w:rPr>
        <w:t>д.політ.н</w:t>
      </w:r>
      <w:proofErr w:type="spellEnd"/>
      <w:r w:rsidRPr="00585A72">
        <w:rPr>
          <w:i/>
        </w:rPr>
        <w:t>, професор,</w:t>
      </w:r>
    </w:p>
    <w:p w14:paraId="51841F30" w14:textId="08BE3601" w:rsidR="00DE41FF" w:rsidRPr="00585A72" w:rsidRDefault="00DE41FF" w:rsidP="00DE41FF">
      <w:pPr>
        <w:pStyle w:val="a3"/>
        <w:spacing w:line="360" w:lineRule="auto"/>
        <w:ind w:left="0" w:firstLine="709"/>
        <w:jc w:val="right"/>
        <w:rPr>
          <w:i/>
          <w:lang w:val="ru-RU"/>
        </w:rPr>
      </w:pPr>
      <w:r w:rsidRPr="00585A72">
        <w:rPr>
          <w:i/>
        </w:rPr>
        <w:t xml:space="preserve">професор кафедри </w:t>
      </w:r>
      <w:r w:rsidR="00585A72">
        <w:rPr>
          <w:i/>
        </w:rPr>
        <w:t>соціального забезпечення та</w:t>
      </w:r>
      <w:r w:rsidR="002F32A1" w:rsidRPr="00585A72">
        <w:rPr>
          <w:i/>
        </w:rPr>
        <w:t xml:space="preserve"> гуманітарних наук</w:t>
      </w:r>
    </w:p>
    <w:p w14:paraId="3054FCD0" w14:textId="36EE64C3" w:rsidR="00585A72" w:rsidRPr="00585A72" w:rsidRDefault="00585A72" w:rsidP="00DE41FF">
      <w:pPr>
        <w:pStyle w:val="a3"/>
        <w:spacing w:line="360" w:lineRule="auto"/>
        <w:ind w:left="0" w:firstLine="709"/>
        <w:jc w:val="right"/>
        <w:rPr>
          <w:i/>
        </w:rPr>
      </w:pPr>
      <w:r>
        <w:rPr>
          <w:i/>
        </w:rPr>
        <w:t>Луцького національного технічного університету</w:t>
      </w:r>
    </w:p>
    <w:p w14:paraId="736D199E" w14:textId="77777777" w:rsidR="00DE41FF" w:rsidRPr="00DE41FF" w:rsidRDefault="00DE41FF" w:rsidP="00DE41FF">
      <w:pPr>
        <w:pStyle w:val="a3"/>
        <w:spacing w:line="360" w:lineRule="auto"/>
        <w:ind w:left="0" w:firstLine="709"/>
        <w:jc w:val="right"/>
        <w:rPr>
          <w:sz w:val="28"/>
          <w:szCs w:val="28"/>
        </w:rPr>
      </w:pPr>
    </w:p>
    <w:p w14:paraId="415F4F50" w14:textId="05E6B784" w:rsidR="00DE41FF" w:rsidRPr="00B845BB" w:rsidRDefault="00B845BB" w:rsidP="00B845BB">
      <w:pPr>
        <w:pStyle w:val="a4"/>
        <w:shd w:val="clear" w:color="auto" w:fill="FFFFFF"/>
        <w:spacing w:before="0" w:beforeAutospacing="0" w:after="300" w:afterAutospacing="0"/>
        <w:jc w:val="center"/>
        <w:rPr>
          <w:rFonts w:ascii="MontserratNew" w:hAnsi="MontserratNew"/>
          <w:b/>
          <w:color w:val="222222"/>
          <w:sz w:val="28"/>
          <w:szCs w:val="28"/>
          <w:lang w:val="en-US"/>
        </w:rPr>
      </w:pPr>
      <w:r w:rsidRPr="00265D04">
        <w:rPr>
          <w:rFonts w:ascii="MontserratNew" w:hAnsi="MontserratNew"/>
          <w:b/>
          <w:color w:val="222222"/>
          <w:sz w:val="28"/>
          <w:szCs w:val="28"/>
        </w:rPr>
        <w:t>Підсум</w:t>
      </w:r>
      <w:r>
        <w:rPr>
          <w:rFonts w:ascii="MontserratNew" w:hAnsi="MontserratNew"/>
          <w:b/>
          <w:color w:val="222222"/>
          <w:sz w:val="28"/>
          <w:szCs w:val="28"/>
        </w:rPr>
        <w:t>ки децен</w:t>
      </w:r>
      <w:bookmarkStart w:id="0" w:name="_GoBack"/>
      <w:bookmarkEnd w:id="0"/>
      <w:r>
        <w:rPr>
          <w:rFonts w:ascii="MontserratNew" w:hAnsi="MontserratNew"/>
          <w:b/>
          <w:color w:val="222222"/>
          <w:sz w:val="28"/>
          <w:szCs w:val="28"/>
        </w:rPr>
        <w:t>тралізації 2</w:t>
      </w:r>
      <w:r w:rsidRPr="00265D04">
        <w:rPr>
          <w:rFonts w:ascii="MontserratNew" w:hAnsi="MontserratNew"/>
          <w:b/>
          <w:color w:val="222222"/>
          <w:sz w:val="28"/>
          <w:szCs w:val="28"/>
        </w:rPr>
        <w:t>019 року</w:t>
      </w:r>
      <w:r>
        <w:rPr>
          <w:rFonts w:ascii="MontserratNew" w:hAnsi="MontserratNew"/>
          <w:b/>
          <w:color w:val="222222"/>
          <w:sz w:val="28"/>
          <w:szCs w:val="28"/>
        </w:rPr>
        <w:t xml:space="preserve"> </w:t>
      </w:r>
      <w:r w:rsidR="002F32A1" w:rsidRPr="00B845BB">
        <w:rPr>
          <w:b/>
          <w:sz w:val="28"/>
          <w:szCs w:val="28"/>
        </w:rPr>
        <w:t>у Волинській області</w:t>
      </w:r>
      <w:r w:rsidR="00AD02B5" w:rsidRPr="00B845BB">
        <w:rPr>
          <w:b/>
          <w:sz w:val="28"/>
          <w:szCs w:val="28"/>
        </w:rPr>
        <w:t xml:space="preserve"> </w:t>
      </w:r>
    </w:p>
    <w:p w14:paraId="5990E59E" w14:textId="78304476" w:rsidR="00ED1EA1" w:rsidRPr="002F32A1" w:rsidRDefault="00ED1EA1" w:rsidP="002F32A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32A1">
        <w:rPr>
          <w:rFonts w:ascii="Times New Roman" w:hAnsi="Times New Roman" w:cs="Times New Roman"/>
          <w:color w:val="000000" w:themeColor="text1"/>
          <w:sz w:val="28"/>
          <w:szCs w:val="28"/>
        </w:rPr>
        <w:t>2019 рік</w:t>
      </w:r>
      <w:r w:rsidR="000E40D1" w:rsidRPr="002F3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3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був </w:t>
      </w:r>
      <w:r w:rsidR="000E40D1" w:rsidRPr="002F3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означений </w:t>
      </w:r>
      <w:r w:rsidR="002F3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визначальними політичними подіями в Україні, зокрема </w:t>
      </w:r>
      <w:r w:rsidR="000E40D1" w:rsidRPr="002F32A1">
        <w:rPr>
          <w:rFonts w:ascii="Times New Roman" w:hAnsi="Times New Roman" w:cs="Times New Roman"/>
          <w:color w:val="000000" w:themeColor="text1"/>
          <w:sz w:val="28"/>
          <w:szCs w:val="28"/>
        </w:rPr>
        <w:t>виборами Президента України</w:t>
      </w:r>
      <w:r w:rsidR="002F3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народних депутатів України</w:t>
      </w:r>
      <w:r w:rsidR="000E40D1" w:rsidRPr="002F32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F32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Однак, певні побоювання щодо можливої зміни курсу щодо реформи децентралізації влади</w:t>
      </w:r>
      <w:r w:rsidR="009479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отримали підтвердження. Новий Президент Володимир </w:t>
      </w:r>
      <w:proofErr w:type="spellStart"/>
      <w:r w:rsidR="009479D9">
        <w:rPr>
          <w:rFonts w:ascii="Times New Roman" w:hAnsi="Times New Roman" w:cs="Times New Roman"/>
          <w:color w:val="000000" w:themeColor="text1"/>
          <w:sz w:val="28"/>
          <w:szCs w:val="28"/>
        </w:rPr>
        <w:t>Зеленський</w:t>
      </w:r>
      <w:proofErr w:type="spellEnd"/>
      <w:r w:rsidR="009479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парламентська більшість, сформована партією «Слуга народу»</w:t>
      </w:r>
      <w:r w:rsidR="00335B9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479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цілковито продовжили реформування місцевого самоврядування та територіальної організації влади. Однак, процес формування ОТГ в регіоні мав суттєво менші масштаби, порівняно з попередніми роками. Це пояснюється тим, що ті громади, що мали намір сформувати ОТГ, в основному, в же це зробил</w:t>
      </w:r>
      <w:r w:rsidR="00335B95">
        <w:rPr>
          <w:rFonts w:ascii="Times New Roman" w:hAnsi="Times New Roman" w:cs="Times New Roman"/>
          <w:color w:val="000000" w:themeColor="text1"/>
          <w:sz w:val="28"/>
          <w:szCs w:val="28"/>
        </w:rPr>
        <w:t>и. А ті, хто, не визначився, зайняли очікувальну позицію і чекають</w:t>
      </w:r>
      <w:r w:rsidR="009479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примусового об’єднання (приєднання).</w:t>
      </w:r>
    </w:p>
    <w:p w14:paraId="7D6A6A66" w14:textId="2EE55083" w:rsidR="000E40D1" w:rsidRPr="002F32A1" w:rsidRDefault="000E40D1" w:rsidP="009479D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2A1">
        <w:rPr>
          <w:rFonts w:ascii="Times New Roman" w:hAnsi="Times New Roman" w:cs="Times New Roman"/>
          <w:sz w:val="28"/>
          <w:szCs w:val="28"/>
        </w:rPr>
        <w:t xml:space="preserve">У неділю, 30 червня, відбулися перші вибори </w:t>
      </w:r>
      <w:r w:rsidR="009479D9">
        <w:rPr>
          <w:rFonts w:ascii="Times New Roman" w:hAnsi="Times New Roman" w:cs="Times New Roman"/>
          <w:sz w:val="28"/>
          <w:szCs w:val="28"/>
        </w:rPr>
        <w:t xml:space="preserve">селищного голови і депутатів </w:t>
      </w:r>
      <w:r w:rsidRPr="002F32A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2F32A1">
        <w:rPr>
          <w:rFonts w:ascii="Times New Roman" w:hAnsi="Times New Roman" w:cs="Times New Roman"/>
          <w:sz w:val="28"/>
          <w:szCs w:val="28"/>
        </w:rPr>
        <w:t>Мар’янівській</w:t>
      </w:r>
      <w:proofErr w:type="spellEnd"/>
      <w:r w:rsidRPr="002F32A1">
        <w:rPr>
          <w:rFonts w:ascii="Times New Roman" w:hAnsi="Times New Roman" w:cs="Times New Roman"/>
          <w:sz w:val="28"/>
          <w:szCs w:val="28"/>
        </w:rPr>
        <w:t xml:space="preserve"> </w:t>
      </w:r>
      <w:r w:rsidR="009479D9">
        <w:rPr>
          <w:rFonts w:ascii="Times New Roman" w:hAnsi="Times New Roman" w:cs="Times New Roman"/>
          <w:sz w:val="28"/>
          <w:szCs w:val="28"/>
        </w:rPr>
        <w:t xml:space="preserve">селищній ОТГ </w:t>
      </w:r>
      <w:proofErr w:type="spellStart"/>
      <w:r w:rsidR="009479D9">
        <w:rPr>
          <w:rFonts w:ascii="Times New Roman" w:hAnsi="Times New Roman" w:cs="Times New Roman"/>
          <w:sz w:val="28"/>
          <w:szCs w:val="28"/>
        </w:rPr>
        <w:t>Горохівського</w:t>
      </w:r>
      <w:proofErr w:type="spellEnd"/>
      <w:r w:rsidR="009479D9">
        <w:rPr>
          <w:rFonts w:ascii="Times New Roman" w:hAnsi="Times New Roman" w:cs="Times New Roman"/>
          <w:sz w:val="28"/>
          <w:szCs w:val="28"/>
        </w:rPr>
        <w:t xml:space="preserve"> району. Таким чином у цьому районі, що суттєво відстав</w:t>
      </w:r>
      <w:r w:rsidR="00335B95">
        <w:rPr>
          <w:rFonts w:ascii="Times New Roman" w:hAnsi="Times New Roman" w:cs="Times New Roman"/>
          <w:sz w:val="28"/>
          <w:szCs w:val="28"/>
        </w:rPr>
        <w:t xml:space="preserve"> від інших районів</w:t>
      </w:r>
      <w:r w:rsidR="009479D9">
        <w:rPr>
          <w:rFonts w:ascii="Times New Roman" w:hAnsi="Times New Roman" w:cs="Times New Roman"/>
          <w:sz w:val="28"/>
          <w:szCs w:val="28"/>
        </w:rPr>
        <w:t xml:space="preserve">, завершився процес утворення першої ОТГ. </w:t>
      </w:r>
      <w:r w:rsidRPr="002F32A1">
        <w:rPr>
          <w:rFonts w:ascii="Times New Roman" w:hAnsi="Times New Roman" w:cs="Times New Roman"/>
          <w:sz w:val="28"/>
          <w:szCs w:val="28"/>
        </w:rPr>
        <w:t xml:space="preserve">До складу </w:t>
      </w:r>
      <w:proofErr w:type="spellStart"/>
      <w:r w:rsidRPr="002F32A1">
        <w:rPr>
          <w:rFonts w:ascii="Times New Roman" w:hAnsi="Times New Roman" w:cs="Times New Roman"/>
          <w:sz w:val="28"/>
          <w:szCs w:val="28"/>
        </w:rPr>
        <w:t>Мар’янівської</w:t>
      </w:r>
      <w:proofErr w:type="spellEnd"/>
      <w:r w:rsidRPr="002F32A1">
        <w:rPr>
          <w:rFonts w:ascii="Times New Roman" w:hAnsi="Times New Roman" w:cs="Times New Roman"/>
          <w:sz w:val="28"/>
          <w:szCs w:val="28"/>
        </w:rPr>
        <w:t xml:space="preserve"> селищної ради увійшли: </w:t>
      </w:r>
      <w:proofErr w:type="spellStart"/>
      <w:r w:rsidRPr="002F32A1">
        <w:rPr>
          <w:rFonts w:ascii="Times New Roman" w:hAnsi="Times New Roman" w:cs="Times New Roman"/>
          <w:sz w:val="28"/>
          <w:szCs w:val="28"/>
        </w:rPr>
        <w:t>Мар’янівська</w:t>
      </w:r>
      <w:proofErr w:type="spellEnd"/>
      <w:r w:rsidRPr="002F32A1">
        <w:rPr>
          <w:rFonts w:ascii="Times New Roman" w:hAnsi="Times New Roman" w:cs="Times New Roman"/>
          <w:sz w:val="28"/>
          <w:szCs w:val="28"/>
        </w:rPr>
        <w:t xml:space="preserve"> селищна рада (</w:t>
      </w:r>
      <w:proofErr w:type="spellStart"/>
      <w:r w:rsidRPr="002F32A1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2F3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2A1">
        <w:rPr>
          <w:rFonts w:ascii="Times New Roman" w:hAnsi="Times New Roman" w:cs="Times New Roman"/>
          <w:sz w:val="28"/>
          <w:szCs w:val="28"/>
        </w:rPr>
        <w:t>Мар’янівка</w:t>
      </w:r>
      <w:proofErr w:type="spellEnd"/>
      <w:r w:rsidRPr="002F32A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2F32A1">
        <w:rPr>
          <w:rFonts w:ascii="Times New Roman" w:hAnsi="Times New Roman" w:cs="Times New Roman"/>
          <w:sz w:val="28"/>
          <w:szCs w:val="28"/>
        </w:rPr>
        <w:t>Бранівська</w:t>
      </w:r>
      <w:proofErr w:type="spellEnd"/>
      <w:r w:rsidRPr="002F32A1">
        <w:rPr>
          <w:rFonts w:ascii="Times New Roman" w:hAnsi="Times New Roman" w:cs="Times New Roman"/>
          <w:sz w:val="28"/>
          <w:szCs w:val="28"/>
        </w:rPr>
        <w:t xml:space="preserve"> сільська рада (села Брани, </w:t>
      </w:r>
      <w:proofErr w:type="spellStart"/>
      <w:r w:rsidRPr="002F32A1">
        <w:rPr>
          <w:rFonts w:ascii="Times New Roman" w:hAnsi="Times New Roman" w:cs="Times New Roman"/>
          <w:sz w:val="28"/>
          <w:szCs w:val="28"/>
        </w:rPr>
        <w:t>Борисковичі</w:t>
      </w:r>
      <w:proofErr w:type="spellEnd"/>
      <w:r w:rsidRPr="002F32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32A1">
        <w:rPr>
          <w:rFonts w:ascii="Times New Roman" w:hAnsi="Times New Roman" w:cs="Times New Roman"/>
          <w:sz w:val="28"/>
          <w:szCs w:val="28"/>
        </w:rPr>
        <w:t>Довгів</w:t>
      </w:r>
      <w:proofErr w:type="spellEnd"/>
      <w:r w:rsidRPr="002F32A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2F32A1">
        <w:rPr>
          <w:rFonts w:ascii="Times New Roman" w:hAnsi="Times New Roman" w:cs="Times New Roman"/>
          <w:sz w:val="28"/>
          <w:szCs w:val="28"/>
        </w:rPr>
        <w:t>Бужанівська</w:t>
      </w:r>
      <w:proofErr w:type="spellEnd"/>
      <w:r w:rsidRPr="002F32A1">
        <w:rPr>
          <w:rFonts w:ascii="Times New Roman" w:hAnsi="Times New Roman" w:cs="Times New Roman"/>
          <w:sz w:val="28"/>
          <w:szCs w:val="28"/>
        </w:rPr>
        <w:t xml:space="preserve"> сільська рада (села Бужани, </w:t>
      </w:r>
      <w:proofErr w:type="spellStart"/>
      <w:r w:rsidRPr="002F32A1">
        <w:rPr>
          <w:rFonts w:ascii="Times New Roman" w:hAnsi="Times New Roman" w:cs="Times New Roman"/>
          <w:sz w:val="28"/>
          <w:szCs w:val="28"/>
        </w:rPr>
        <w:t>Ржищів</w:t>
      </w:r>
      <w:proofErr w:type="spellEnd"/>
      <w:r w:rsidRPr="002F32A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2F32A1">
        <w:rPr>
          <w:rFonts w:ascii="Times New Roman" w:hAnsi="Times New Roman" w:cs="Times New Roman"/>
          <w:sz w:val="28"/>
          <w:szCs w:val="28"/>
        </w:rPr>
        <w:t>Цегівська</w:t>
      </w:r>
      <w:proofErr w:type="spellEnd"/>
      <w:r w:rsidRPr="002F32A1">
        <w:rPr>
          <w:rFonts w:ascii="Times New Roman" w:hAnsi="Times New Roman" w:cs="Times New Roman"/>
          <w:sz w:val="28"/>
          <w:szCs w:val="28"/>
        </w:rPr>
        <w:t xml:space="preserve"> сільська рада (села </w:t>
      </w:r>
      <w:proofErr w:type="spellStart"/>
      <w:r w:rsidRPr="002F32A1">
        <w:rPr>
          <w:rFonts w:ascii="Times New Roman" w:hAnsi="Times New Roman" w:cs="Times New Roman"/>
          <w:sz w:val="28"/>
          <w:szCs w:val="28"/>
        </w:rPr>
        <w:t>Цегів</w:t>
      </w:r>
      <w:proofErr w:type="spellEnd"/>
      <w:r w:rsidRPr="002F32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32A1">
        <w:rPr>
          <w:rFonts w:ascii="Times New Roman" w:hAnsi="Times New Roman" w:cs="Times New Roman"/>
          <w:sz w:val="28"/>
          <w:szCs w:val="28"/>
        </w:rPr>
        <w:t>Борочиче</w:t>
      </w:r>
      <w:proofErr w:type="spellEnd"/>
      <w:r w:rsidRPr="002F32A1">
        <w:rPr>
          <w:rFonts w:ascii="Times New Roman" w:hAnsi="Times New Roman" w:cs="Times New Roman"/>
          <w:sz w:val="28"/>
          <w:szCs w:val="28"/>
        </w:rPr>
        <w:t xml:space="preserve">, Широке). Населення цієї ОТГ </w:t>
      </w:r>
      <w:r w:rsidRPr="00335B95">
        <w:rPr>
          <w:rFonts w:ascii="Times New Roman" w:hAnsi="Times New Roman" w:cs="Times New Roman"/>
          <w:sz w:val="28"/>
          <w:szCs w:val="28"/>
        </w:rPr>
        <w:t xml:space="preserve">становить </w:t>
      </w:r>
      <w:r w:rsidR="00335B95" w:rsidRPr="00335B95">
        <w:rPr>
          <w:rFonts w:ascii="Times New Roman" w:hAnsi="Times New Roman" w:cs="Times New Roman"/>
          <w:sz w:val="28"/>
          <w:szCs w:val="28"/>
        </w:rPr>
        <w:t>8</w:t>
      </w:r>
      <w:r w:rsidR="00335B95">
        <w:rPr>
          <w:rFonts w:ascii="Times New Roman" w:hAnsi="Times New Roman" w:cs="Times New Roman"/>
          <w:sz w:val="28"/>
          <w:szCs w:val="28"/>
        </w:rPr>
        <w:t>840</w:t>
      </w:r>
      <w:r w:rsidRPr="002F32A1">
        <w:rPr>
          <w:rFonts w:ascii="Times New Roman" w:hAnsi="Times New Roman" w:cs="Times New Roman"/>
          <w:sz w:val="28"/>
          <w:szCs w:val="28"/>
        </w:rPr>
        <w:t xml:space="preserve"> осіб</w:t>
      </w:r>
      <w:r w:rsidR="00335B95">
        <w:rPr>
          <w:rFonts w:ascii="Times New Roman" w:hAnsi="Times New Roman" w:cs="Times New Roman"/>
          <w:sz w:val="28"/>
          <w:szCs w:val="28"/>
        </w:rPr>
        <w:t>, а територія – 167,9 км кв</w:t>
      </w:r>
      <w:r w:rsidRPr="002F32A1">
        <w:rPr>
          <w:rFonts w:ascii="Times New Roman" w:hAnsi="Times New Roman" w:cs="Times New Roman"/>
          <w:sz w:val="28"/>
          <w:szCs w:val="28"/>
        </w:rPr>
        <w:t>.</w:t>
      </w:r>
      <w:r w:rsidR="009479D9">
        <w:rPr>
          <w:rFonts w:ascii="Times New Roman" w:hAnsi="Times New Roman" w:cs="Times New Roman"/>
          <w:sz w:val="28"/>
          <w:szCs w:val="28"/>
        </w:rPr>
        <w:t xml:space="preserve"> Однак, так як ця ОТГ не була передбачена перспективним планом формування територій громад Волинської області, це зумовило подальші труднощі у її становленні.</w:t>
      </w:r>
      <w:r w:rsidR="00335B95">
        <w:rPr>
          <w:rFonts w:ascii="Times New Roman" w:hAnsi="Times New Roman" w:cs="Times New Roman"/>
          <w:sz w:val="28"/>
          <w:szCs w:val="28"/>
        </w:rPr>
        <w:t xml:space="preserve"> Зокрема, вона так і не визнана Урядом як спроможна, відповідно не перейшла на прямі бюджетні відносини з державним бюджетом з початку 2020 року.  </w:t>
      </w:r>
    </w:p>
    <w:p w14:paraId="5E9D59AB" w14:textId="456DEE8D" w:rsidR="00335B95" w:rsidRDefault="000E40D1" w:rsidP="00B658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2A1">
        <w:rPr>
          <w:rFonts w:ascii="Times New Roman" w:hAnsi="Times New Roman" w:cs="Times New Roman"/>
          <w:sz w:val="28"/>
          <w:szCs w:val="28"/>
        </w:rPr>
        <w:lastRenderedPageBreak/>
        <w:t xml:space="preserve">25 жовтня сталася </w:t>
      </w:r>
      <w:r w:rsidR="002F32A1" w:rsidRPr="002F32A1">
        <w:rPr>
          <w:rFonts w:ascii="Times New Roman" w:hAnsi="Times New Roman" w:cs="Times New Roman"/>
          <w:sz w:val="28"/>
          <w:szCs w:val="28"/>
        </w:rPr>
        <w:t xml:space="preserve">історична подія в процесі </w:t>
      </w:r>
      <w:proofErr w:type="spellStart"/>
      <w:r w:rsidR="002F32A1" w:rsidRPr="002F32A1">
        <w:rPr>
          <w:rFonts w:ascii="Times New Roman" w:hAnsi="Times New Roman" w:cs="Times New Roman"/>
          <w:sz w:val="28"/>
          <w:szCs w:val="28"/>
        </w:rPr>
        <w:t>децентралізаційної</w:t>
      </w:r>
      <w:proofErr w:type="spellEnd"/>
      <w:r w:rsidR="002F32A1" w:rsidRPr="002F32A1">
        <w:rPr>
          <w:rFonts w:ascii="Times New Roman" w:hAnsi="Times New Roman" w:cs="Times New Roman"/>
          <w:sz w:val="28"/>
          <w:szCs w:val="28"/>
        </w:rPr>
        <w:t xml:space="preserve"> реформи – утворення Луцької об’єднаної громади</w:t>
      </w:r>
      <w:r w:rsidR="009479D9">
        <w:rPr>
          <w:rFonts w:ascii="Times New Roman" w:hAnsi="Times New Roman" w:cs="Times New Roman"/>
          <w:sz w:val="28"/>
          <w:szCs w:val="28"/>
        </w:rPr>
        <w:t>, до якої приєдналася</w:t>
      </w:r>
      <w:r w:rsidR="002F32A1" w:rsidRPr="002F32A1">
        <w:rPr>
          <w:rFonts w:ascii="Times New Roman" w:hAnsi="Times New Roman" w:cs="Times New Roman"/>
          <w:sz w:val="28"/>
          <w:szCs w:val="28"/>
        </w:rPr>
        <w:t xml:space="preserve"> </w:t>
      </w:r>
      <w:r w:rsidRPr="002F32A1">
        <w:rPr>
          <w:rFonts w:ascii="Times New Roman" w:hAnsi="Times New Roman" w:cs="Times New Roman"/>
          <w:sz w:val="28"/>
          <w:szCs w:val="28"/>
        </w:rPr>
        <w:t>П</w:t>
      </w:r>
      <w:r w:rsidR="002F32A1" w:rsidRPr="002F32A1">
        <w:rPr>
          <w:rFonts w:ascii="Times New Roman" w:hAnsi="Times New Roman" w:cs="Times New Roman"/>
          <w:sz w:val="28"/>
          <w:szCs w:val="28"/>
        </w:rPr>
        <w:t>рилуцька сільська р</w:t>
      </w:r>
      <w:r w:rsidR="009479D9">
        <w:rPr>
          <w:rFonts w:ascii="Times New Roman" w:hAnsi="Times New Roman" w:cs="Times New Roman"/>
          <w:sz w:val="28"/>
          <w:szCs w:val="28"/>
        </w:rPr>
        <w:t>ада Ківерцівського</w:t>
      </w:r>
      <w:r w:rsidR="00335B95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2F32A1" w:rsidRPr="002F32A1">
        <w:rPr>
          <w:rFonts w:ascii="Times New Roman" w:hAnsi="Times New Roman" w:cs="Times New Roman"/>
          <w:sz w:val="28"/>
          <w:szCs w:val="28"/>
        </w:rPr>
        <w:t>.</w:t>
      </w:r>
      <w:r w:rsidRPr="002F32A1">
        <w:rPr>
          <w:rFonts w:ascii="Times New Roman" w:hAnsi="Times New Roman" w:cs="Times New Roman"/>
          <w:sz w:val="28"/>
          <w:szCs w:val="28"/>
        </w:rPr>
        <w:t xml:space="preserve"> </w:t>
      </w:r>
      <w:r w:rsidR="009479D9">
        <w:rPr>
          <w:rFonts w:ascii="Times New Roman" w:hAnsi="Times New Roman" w:cs="Times New Roman"/>
          <w:sz w:val="28"/>
          <w:szCs w:val="28"/>
        </w:rPr>
        <w:t>Н</w:t>
      </w:r>
      <w:r w:rsidRPr="002F32A1">
        <w:rPr>
          <w:rFonts w:ascii="Times New Roman" w:hAnsi="Times New Roman" w:cs="Times New Roman"/>
          <w:sz w:val="28"/>
          <w:szCs w:val="28"/>
        </w:rPr>
        <w:t xml:space="preserve">а сесії </w:t>
      </w:r>
      <w:r w:rsidR="009479D9">
        <w:rPr>
          <w:rFonts w:ascii="Times New Roman" w:hAnsi="Times New Roman" w:cs="Times New Roman"/>
          <w:sz w:val="28"/>
          <w:szCs w:val="28"/>
        </w:rPr>
        <w:t xml:space="preserve">сільської ради всі 13 присутніх </w:t>
      </w:r>
      <w:r w:rsidRPr="002F32A1">
        <w:rPr>
          <w:rFonts w:ascii="Times New Roman" w:hAnsi="Times New Roman" w:cs="Times New Roman"/>
          <w:sz w:val="28"/>
          <w:szCs w:val="28"/>
        </w:rPr>
        <w:t xml:space="preserve">депутатів і сільський голова, який свого часу три рази </w:t>
      </w:r>
      <w:proofErr w:type="spellStart"/>
      <w:r w:rsidRPr="002F32A1">
        <w:rPr>
          <w:rFonts w:ascii="Times New Roman" w:hAnsi="Times New Roman" w:cs="Times New Roman"/>
          <w:sz w:val="28"/>
          <w:szCs w:val="28"/>
        </w:rPr>
        <w:t>ветував</w:t>
      </w:r>
      <w:proofErr w:type="spellEnd"/>
      <w:r w:rsidRPr="002F32A1">
        <w:rPr>
          <w:rFonts w:ascii="Times New Roman" w:hAnsi="Times New Roman" w:cs="Times New Roman"/>
          <w:sz w:val="28"/>
          <w:szCs w:val="28"/>
        </w:rPr>
        <w:t xml:space="preserve"> приєднання Прилуцької сільради до міста, проголосували «ЗА» створення міської ОТГ. Так закінчилася багаторічна </w:t>
      </w:r>
      <w:proofErr w:type="spellStart"/>
      <w:r w:rsidRPr="002F32A1">
        <w:rPr>
          <w:rFonts w:ascii="Times New Roman" w:hAnsi="Times New Roman" w:cs="Times New Roman"/>
          <w:sz w:val="28"/>
          <w:szCs w:val="28"/>
        </w:rPr>
        <w:t>децентралізаційна</w:t>
      </w:r>
      <w:proofErr w:type="spellEnd"/>
      <w:r w:rsidRPr="002F32A1">
        <w:rPr>
          <w:rFonts w:ascii="Times New Roman" w:hAnsi="Times New Roman" w:cs="Times New Roman"/>
          <w:sz w:val="28"/>
          <w:szCs w:val="28"/>
        </w:rPr>
        <w:t xml:space="preserve"> епопея щодо створення Луцької міської ОТГ – першої громади на Волині з центром у місті обла</w:t>
      </w:r>
      <w:r w:rsidR="002F32A1" w:rsidRPr="002F32A1">
        <w:rPr>
          <w:rFonts w:ascii="Times New Roman" w:hAnsi="Times New Roman" w:cs="Times New Roman"/>
          <w:sz w:val="28"/>
          <w:szCs w:val="28"/>
        </w:rPr>
        <w:t>сного підпорядкування</w:t>
      </w:r>
      <w:r w:rsidRPr="002F32A1">
        <w:rPr>
          <w:rFonts w:ascii="Times New Roman" w:hAnsi="Times New Roman" w:cs="Times New Roman"/>
          <w:sz w:val="28"/>
          <w:szCs w:val="28"/>
        </w:rPr>
        <w:t xml:space="preserve">. Прилуцька сільська рада </w:t>
      </w:r>
      <w:r w:rsidR="009479D9">
        <w:rPr>
          <w:rFonts w:ascii="Times New Roman" w:hAnsi="Times New Roman" w:cs="Times New Roman"/>
          <w:sz w:val="28"/>
          <w:szCs w:val="28"/>
        </w:rPr>
        <w:t>(с</w:t>
      </w:r>
      <w:r w:rsidR="009479D9" w:rsidRPr="002F32A1">
        <w:rPr>
          <w:rFonts w:ascii="Times New Roman" w:hAnsi="Times New Roman" w:cs="Times New Roman"/>
          <w:sz w:val="28"/>
          <w:szCs w:val="28"/>
        </w:rPr>
        <w:t>ела Прилуцьке</w:t>
      </w:r>
      <w:r w:rsidR="009479D9">
        <w:rPr>
          <w:rFonts w:ascii="Times New Roman" w:hAnsi="Times New Roman" w:cs="Times New Roman"/>
          <w:sz w:val="28"/>
          <w:szCs w:val="28"/>
        </w:rPr>
        <w:t>,</w:t>
      </w:r>
      <w:r w:rsidR="009479D9" w:rsidRPr="002F32A1">
        <w:rPr>
          <w:rFonts w:ascii="Times New Roman" w:hAnsi="Times New Roman" w:cs="Times New Roman"/>
          <w:sz w:val="28"/>
          <w:szCs w:val="28"/>
        </w:rPr>
        <w:t xml:space="preserve"> Жабка, Дачне, </w:t>
      </w:r>
      <w:proofErr w:type="spellStart"/>
      <w:r w:rsidR="009479D9" w:rsidRPr="002F32A1">
        <w:rPr>
          <w:rFonts w:ascii="Times New Roman" w:hAnsi="Times New Roman" w:cs="Times New Roman"/>
          <w:sz w:val="28"/>
          <w:szCs w:val="28"/>
        </w:rPr>
        <w:t>Са</w:t>
      </w:r>
      <w:r w:rsidR="009479D9">
        <w:rPr>
          <w:rFonts w:ascii="Times New Roman" w:hAnsi="Times New Roman" w:cs="Times New Roman"/>
          <w:sz w:val="28"/>
          <w:szCs w:val="28"/>
        </w:rPr>
        <w:t>погів</w:t>
      </w:r>
      <w:proofErr w:type="spellEnd"/>
      <w:r w:rsidR="009479D9">
        <w:rPr>
          <w:rFonts w:ascii="Times New Roman" w:hAnsi="Times New Roman" w:cs="Times New Roman"/>
          <w:sz w:val="28"/>
          <w:szCs w:val="28"/>
        </w:rPr>
        <w:t xml:space="preserve">) </w:t>
      </w:r>
      <w:r w:rsidR="009479D9" w:rsidRPr="002F32A1">
        <w:rPr>
          <w:rFonts w:ascii="Times New Roman" w:hAnsi="Times New Roman" w:cs="Times New Roman"/>
          <w:sz w:val="28"/>
          <w:szCs w:val="28"/>
        </w:rPr>
        <w:t xml:space="preserve"> </w:t>
      </w:r>
      <w:r w:rsidRPr="002F32A1">
        <w:rPr>
          <w:rFonts w:ascii="Times New Roman" w:hAnsi="Times New Roman" w:cs="Times New Roman"/>
          <w:sz w:val="28"/>
          <w:szCs w:val="28"/>
        </w:rPr>
        <w:t>перша і поки єдина громада, яка вирішила створити ОТГ із обласним центром Волині. Приєднання до Лу</w:t>
      </w:r>
      <w:r w:rsidR="009479D9">
        <w:rPr>
          <w:rFonts w:ascii="Times New Roman" w:hAnsi="Times New Roman" w:cs="Times New Roman"/>
          <w:sz w:val="28"/>
          <w:szCs w:val="28"/>
        </w:rPr>
        <w:t xml:space="preserve">цька Прилуцької сільської ради мало відбутися ще </w:t>
      </w:r>
      <w:r w:rsidRPr="002F32A1">
        <w:rPr>
          <w:rFonts w:ascii="Times New Roman" w:hAnsi="Times New Roman" w:cs="Times New Roman"/>
          <w:sz w:val="28"/>
          <w:szCs w:val="28"/>
        </w:rPr>
        <w:t>декілька років тому. Депутати с</w:t>
      </w:r>
      <w:r w:rsidR="002F32A1" w:rsidRPr="002F32A1">
        <w:rPr>
          <w:rFonts w:ascii="Times New Roman" w:hAnsi="Times New Roman" w:cs="Times New Roman"/>
          <w:sz w:val="28"/>
          <w:szCs w:val="28"/>
        </w:rPr>
        <w:t>ільської ради </w:t>
      </w:r>
      <w:r w:rsidR="00094933">
        <w:rPr>
          <w:rFonts w:ascii="Times New Roman" w:hAnsi="Times New Roman" w:cs="Times New Roman"/>
          <w:sz w:val="28"/>
          <w:szCs w:val="28"/>
        </w:rPr>
        <w:t xml:space="preserve">на основі </w:t>
      </w:r>
      <w:r w:rsidR="00335B95">
        <w:rPr>
          <w:rFonts w:ascii="Times New Roman" w:hAnsi="Times New Roman" w:cs="Times New Roman"/>
          <w:sz w:val="28"/>
          <w:szCs w:val="28"/>
        </w:rPr>
        <w:t xml:space="preserve">результатів </w:t>
      </w:r>
      <w:r w:rsidR="00094933">
        <w:rPr>
          <w:rFonts w:ascii="Times New Roman" w:hAnsi="Times New Roman" w:cs="Times New Roman"/>
          <w:sz w:val="28"/>
          <w:szCs w:val="28"/>
        </w:rPr>
        <w:t xml:space="preserve">громадського обговорення жителів сільської ради </w:t>
      </w:r>
      <w:r w:rsidR="002F32A1" w:rsidRPr="002F32A1">
        <w:rPr>
          <w:rFonts w:ascii="Times New Roman" w:hAnsi="Times New Roman" w:cs="Times New Roman"/>
          <w:sz w:val="28"/>
          <w:szCs w:val="28"/>
        </w:rPr>
        <w:t xml:space="preserve">ще </w:t>
      </w:r>
      <w:r w:rsidR="009479D9">
        <w:rPr>
          <w:rFonts w:ascii="Times New Roman" w:hAnsi="Times New Roman" w:cs="Times New Roman"/>
          <w:sz w:val="28"/>
          <w:szCs w:val="28"/>
        </w:rPr>
        <w:t xml:space="preserve">29 вересня 2017 </w:t>
      </w:r>
      <w:r w:rsidR="002F32A1" w:rsidRPr="002F32A1">
        <w:rPr>
          <w:rFonts w:ascii="Times New Roman" w:hAnsi="Times New Roman" w:cs="Times New Roman"/>
          <w:sz w:val="28"/>
          <w:szCs w:val="28"/>
        </w:rPr>
        <w:t>р.</w:t>
      </w:r>
      <w:r w:rsidRPr="002F32A1">
        <w:rPr>
          <w:rFonts w:ascii="Times New Roman" w:hAnsi="Times New Roman" w:cs="Times New Roman"/>
          <w:sz w:val="28"/>
          <w:szCs w:val="28"/>
        </w:rPr>
        <w:t> </w:t>
      </w:r>
      <w:hyperlink r:id="rId6" w:history="1">
        <w:r w:rsidRPr="002F32A1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проголосували за відповідне рішення,</w:t>
        </w:r>
      </w:hyperlink>
      <w:r w:rsidR="002F32A1" w:rsidRPr="002F32A1">
        <w:rPr>
          <w:rFonts w:ascii="Times New Roman" w:hAnsi="Times New Roman" w:cs="Times New Roman"/>
          <w:sz w:val="28"/>
          <w:szCs w:val="28"/>
        </w:rPr>
        <w:t xml:space="preserve"> </w:t>
      </w:r>
      <w:r w:rsidRPr="002F32A1">
        <w:rPr>
          <w:rFonts w:ascii="Times New Roman" w:hAnsi="Times New Roman" w:cs="Times New Roman"/>
          <w:sz w:val="28"/>
          <w:szCs w:val="28"/>
        </w:rPr>
        <w:t>проте на нього </w:t>
      </w:r>
      <w:hyperlink r:id="rId7" w:history="1">
        <w:r w:rsidRPr="002F32A1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 xml:space="preserve">наклав вето сільський голова Валентин </w:t>
        </w:r>
        <w:proofErr w:type="spellStart"/>
        <w:r w:rsidRPr="002F32A1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Арчибасов</w:t>
        </w:r>
        <w:proofErr w:type="spellEnd"/>
        <w:r w:rsidRPr="002F32A1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.</w:t>
        </w:r>
      </w:hyperlink>
      <w:r w:rsidR="002F32A1" w:rsidRPr="002F32A1">
        <w:rPr>
          <w:rFonts w:ascii="Times New Roman" w:hAnsi="Times New Roman" w:cs="Times New Roman"/>
          <w:sz w:val="28"/>
          <w:szCs w:val="28"/>
        </w:rPr>
        <w:t xml:space="preserve"> </w:t>
      </w:r>
      <w:r w:rsidRPr="002F32A1">
        <w:rPr>
          <w:rFonts w:ascii="Times New Roman" w:hAnsi="Times New Roman" w:cs="Times New Roman"/>
          <w:sz w:val="28"/>
          <w:szCs w:val="28"/>
        </w:rPr>
        <w:t xml:space="preserve">Вважаючи такі дії сільського голови </w:t>
      </w:r>
      <w:r w:rsidR="000E5C71">
        <w:rPr>
          <w:rFonts w:ascii="Times New Roman" w:hAnsi="Times New Roman" w:cs="Times New Roman"/>
          <w:sz w:val="28"/>
          <w:szCs w:val="28"/>
        </w:rPr>
        <w:t>неправомірними депутати у січні 2018 р.</w:t>
      </w:r>
      <w:r w:rsidRPr="002F32A1">
        <w:rPr>
          <w:rFonts w:ascii="Times New Roman" w:hAnsi="Times New Roman" w:cs="Times New Roman"/>
          <w:sz w:val="28"/>
          <w:szCs w:val="28"/>
        </w:rPr>
        <w:t xml:space="preserve"> подали заяви в прокуратуру, поліцію та облраду. </w:t>
      </w:r>
      <w:r w:rsidR="00B658B3" w:rsidRPr="00B658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8" w:tgtFrame="_blank" w:history="1">
        <w:r w:rsidR="00094933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У березні 2018 р., зважаючи на думку більшості громади,</w:t>
        </w:r>
        <w:r w:rsidRPr="002F32A1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 xml:space="preserve"> депутати Прилуцької </w:t>
        </w:r>
        <w:r w:rsidR="000E5C71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сільради дали знову згоду на об’</w:t>
        </w:r>
        <w:r w:rsidRPr="002F32A1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єднання</w:t>
        </w:r>
      </w:hyperlink>
      <w:r w:rsidRPr="002F32A1">
        <w:rPr>
          <w:rFonts w:ascii="Times New Roman" w:hAnsi="Times New Roman" w:cs="Times New Roman"/>
          <w:sz w:val="28"/>
          <w:szCs w:val="28"/>
        </w:rPr>
        <w:t>. Проте сільський голова</w:t>
      </w:r>
      <w:r w:rsidR="00094933">
        <w:rPr>
          <w:rFonts w:ascii="Times New Roman" w:hAnsi="Times New Roman" w:cs="Times New Roman"/>
          <w:sz w:val="28"/>
          <w:szCs w:val="28"/>
        </w:rPr>
        <w:t>, ігноруючи більшість депутатів і думку громади,</w:t>
      </w:r>
      <w:r w:rsidRPr="002F32A1">
        <w:rPr>
          <w:rFonts w:ascii="Times New Roman" w:hAnsi="Times New Roman" w:cs="Times New Roman"/>
          <w:sz w:val="28"/>
          <w:szCs w:val="28"/>
        </w:rPr>
        <w:t> </w:t>
      </w:r>
      <w:hyperlink r:id="rId9" w:history="1">
        <w:r w:rsidR="00094933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знову</w:t>
        </w:r>
        <w:r w:rsidRPr="002F32A1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 xml:space="preserve"> зупинив </w:t>
        </w:r>
      </w:hyperlink>
      <w:r w:rsidRPr="002F32A1">
        <w:rPr>
          <w:rFonts w:ascii="Times New Roman" w:hAnsi="Times New Roman" w:cs="Times New Roman"/>
          <w:sz w:val="28"/>
          <w:szCs w:val="28"/>
        </w:rPr>
        <w:t xml:space="preserve">дію </w:t>
      </w:r>
      <w:r w:rsidR="000E5C71">
        <w:rPr>
          <w:rFonts w:ascii="Times New Roman" w:hAnsi="Times New Roman" w:cs="Times New Roman"/>
          <w:sz w:val="28"/>
          <w:szCs w:val="28"/>
        </w:rPr>
        <w:t xml:space="preserve">рішення сільської ради </w:t>
      </w:r>
      <w:r w:rsidRPr="002F32A1">
        <w:rPr>
          <w:rFonts w:ascii="Times New Roman" w:hAnsi="Times New Roman" w:cs="Times New Roman"/>
          <w:sz w:val="28"/>
          <w:szCs w:val="28"/>
        </w:rPr>
        <w:t>об</w:t>
      </w:r>
      <w:r w:rsidR="000E5C71">
        <w:rPr>
          <w:rFonts w:ascii="Times New Roman" w:hAnsi="Times New Roman" w:cs="Times New Roman"/>
          <w:sz w:val="28"/>
          <w:szCs w:val="28"/>
        </w:rPr>
        <w:t>’</w:t>
      </w:r>
      <w:r w:rsidRPr="002F32A1">
        <w:rPr>
          <w:rFonts w:ascii="Times New Roman" w:hAnsi="Times New Roman" w:cs="Times New Roman"/>
          <w:sz w:val="28"/>
          <w:szCs w:val="28"/>
        </w:rPr>
        <w:t xml:space="preserve">єднання з Луцьком. </w:t>
      </w:r>
      <w:r w:rsidR="000E5C71">
        <w:rPr>
          <w:rFonts w:ascii="Times New Roman" w:hAnsi="Times New Roman" w:cs="Times New Roman"/>
          <w:sz w:val="28"/>
          <w:szCs w:val="28"/>
        </w:rPr>
        <w:t>На жаль, достатньої кількості голосів для подолання вето серед депутатів</w:t>
      </w:r>
      <w:r w:rsidRPr="002F32A1">
        <w:rPr>
          <w:rFonts w:ascii="Times New Roman" w:hAnsi="Times New Roman" w:cs="Times New Roman"/>
          <w:sz w:val="28"/>
          <w:szCs w:val="28"/>
        </w:rPr>
        <w:t xml:space="preserve"> </w:t>
      </w:r>
      <w:r w:rsidR="000E5C71">
        <w:rPr>
          <w:rFonts w:ascii="Times New Roman" w:hAnsi="Times New Roman" w:cs="Times New Roman"/>
          <w:sz w:val="28"/>
          <w:szCs w:val="28"/>
        </w:rPr>
        <w:t xml:space="preserve">не було. </w:t>
      </w:r>
      <w:r w:rsidR="00094933">
        <w:rPr>
          <w:rFonts w:ascii="Times New Roman" w:hAnsi="Times New Roman" w:cs="Times New Roman"/>
          <w:sz w:val="28"/>
          <w:szCs w:val="28"/>
        </w:rPr>
        <w:t>Зазначена</w:t>
      </w:r>
      <w:r w:rsidR="000E5C71">
        <w:rPr>
          <w:rFonts w:ascii="Times New Roman" w:hAnsi="Times New Roman" w:cs="Times New Roman"/>
          <w:sz w:val="28"/>
          <w:szCs w:val="28"/>
        </w:rPr>
        <w:t xml:space="preserve"> ситуація мала політичне підґрунтя, </w:t>
      </w:r>
      <w:r w:rsidR="00335B95">
        <w:rPr>
          <w:rFonts w:ascii="Times New Roman" w:hAnsi="Times New Roman" w:cs="Times New Roman"/>
          <w:sz w:val="28"/>
          <w:szCs w:val="28"/>
        </w:rPr>
        <w:t>пов’язане з перспективою  виборів Луцького міського голови.</w:t>
      </w:r>
    </w:p>
    <w:p w14:paraId="04D84895" w14:textId="703138A9" w:rsidR="000E5C71" w:rsidRPr="00DA256B" w:rsidRDefault="000E5C71" w:rsidP="002F32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 лише після </w:t>
      </w:r>
      <w:r w:rsidR="00094933">
        <w:rPr>
          <w:rFonts w:ascii="Times New Roman" w:hAnsi="Times New Roman" w:cs="Times New Roman"/>
          <w:sz w:val="28"/>
          <w:szCs w:val="28"/>
        </w:rPr>
        <w:t xml:space="preserve">президентських і парламентських виборів, а відповідно </w:t>
      </w:r>
      <w:r>
        <w:rPr>
          <w:rFonts w:ascii="Times New Roman" w:hAnsi="Times New Roman" w:cs="Times New Roman"/>
          <w:sz w:val="28"/>
          <w:szCs w:val="28"/>
        </w:rPr>
        <w:t>зміни керівництва облдержадміністрації, 15 липня</w:t>
      </w:r>
      <w:r w:rsidR="000E40D1" w:rsidRPr="002F32A1">
        <w:rPr>
          <w:rFonts w:ascii="Times New Roman" w:hAnsi="Times New Roman" w:cs="Times New Roman"/>
          <w:sz w:val="28"/>
          <w:szCs w:val="28"/>
        </w:rPr>
        <w:t xml:space="preserve"> депутати Прилуцької сільської ради </w:t>
      </w:r>
      <w:r>
        <w:rPr>
          <w:rFonts w:ascii="Times New Roman" w:hAnsi="Times New Roman" w:cs="Times New Roman"/>
          <w:sz w:val="28"/>
          <w:szCs w:val="28"/>
        </w:rPr>
        <w:t>вчергове розпочали процес тепер уже приєднання з Луцьком</w:t>
      </w:r>
      <w:r w:rsidR="000E40D1" w:rsidRPr="002F32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Втративши потужних покровит</w:t>
      </w:r>
      <w:r w:rsidR="00094933">
        <w:rPr>
          <w:rFonts w:ascii="Times New Roman" w:hAnsi="Times New Roman" w:cs="Times New Roman"/>
          <w:sz w:val="28"/>
          <w:szCs w:val="28"/>
        </w:rPr>
        <w:t xml:space="preserve">елів в особі керівників області та </w:t>
      </w:r>
      <w:r w:rsidR="00335B95">
        <w:rPr>
          <w:rFonts w:ascii="Times New Roman" w:hAnsi="Times New Roman" w:cs="Times New Roman"/>
          <w:sz w:val="28"/>
          <w:szCs w:val="28"/>
        </w:rPr>
        <w:t xml:space="preserve">зміни політичної ситуації, </w:t>
      </w:r>
      <w:r>
        <w:rPr>
          <w:rFonts w:ascii="Times New Roman" w:hAnsi="Times New Roman" w:cs="Times New Roman"/>
          <w:sz w:val="28"/>
          <w:szCs w:val="28"/>
        </w:rPr>
        <w:t>сільський голова</w:t>
      </w:r>
      <w:r w:rsidR="00094933">
        <w:rPr>
          <w:rFonts w:ascii="Times New Roman" w:hAnsi="Times New Roman" w:cs="Times New Roman"/>
          <w:sz w:val="28"/>
          <w:szCs w:val="28"/>
        </w:rPr>
        <w:t xml:space="preserve"> та його прихильники серед депутатів сільської ради, вже не наважилися вчергове заблок</w:t>
      </w:r>
      <w:r w:rsidR="00335B95">
        <w:rPr>
          <w:rFonts w:ascii="Times New Roman" w:hAnsi="Times New Roman" w:cs="Times New Roman"/>
          <w:sz w:val="28"/>
          <w:szCs w:val="28"/>
        </w:rPr>
        <w:t>увати</w:t>
      </w:r>
      <w:r w:rsidR="00B658B3">
        <w:rPr>
          <w:rFonts w:ascii="Times New Roman" w:hAnsi="Times New Roman" w:cs="Times New Roman"/>
          <w:sz w:val="28"/>
          <w:szCs w:val="28"/>
        </w:rPr>
        <w:t xml:space="preserve"> рішення більшості своїх колег та ігнорувати</w:t>
      </w:r>
      <w:r w:rsidR="00094933">
        <w:rPr>
          <w:rFonts w:ascii="Times New Roman" w:hAnsi="Times New Roman" w:cs="Times New Roman"/>
          <w:sz w:val="28"/>
          <w:szCs w:val="28"/>
        </w:rPr>
        <w:t xml:space="preserve"> думку своїх виборців.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2A1" w:rsidRPr="002F32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E6F9BA" w14:textId="1FD7776C" w:rsidR="00DA256B" w:rsidRDefault="00DA256B" w:rsidP="002F32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Разом з тим, окрім Луцька, інші міста обласного значення протягом цього року так і не змогли утворити власні ОТГ. Володимир-Волинський вже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оточений ОТГ, до Нововолинська дві суміжні сільські ради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Грядівська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Грибовицька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виявили бажання приєднатися. Про приєднання до Ковеля всі необхідні рішення </w:t>
      </w:r>
      <w:r w:rsidR="00B658B3">
        <w:rPr>
          <w:rFonts w:ascii="Times New Roman" w:hAnsi="Times New Roman" w:cs="Times New Roman"/>
          <w:sz w:val="28"/>
          <w:szCs w:val="28"/>
        </w:rPr>
        <w:t xml:space="preserve">прийняла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Ружинська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сільська рада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Турійського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району, однак, зважаючи на її відсутність у перспективному плані у складі Ковельської міської ОТГ, цей процес у 2019 р. так і не отримав юридичного завершення.</w:t>
      </w:r>
    </w:p>
    <w:p w14:paraId="37A932C3" w14:textId="08AE8F51" w:rsidR="00A86447" w:rsidRPr="00DA256B" w:rsidRDefault="00A86447" w:rsidP="002F32A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Складна ситуація залишилася й з </w:t>
      </w:r>
      <w:r w:rsidR="00885E62">
        <w:rPr>
          <w:rFonts w:ascii="Times New Roman" w:hAnsi="Times New Roman" w:cs="Times New Roman"/>
          <w:sz w:val="28"/>
          <w:szCs w:val="28"/>
        </w:rPr>
        <w:t>районними центрами. З різних причин, жоден з них так і не реалізував можливість добровільного варіанта створення ОТГ.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7F6912" w14:textId="280D2BF3" w:rsidR="002F32A1" w:rsidRPr="00B658B3" w:rsidRDefault="004B0F0E" w:rsidP="00B658B3">
      <w:pPr>
        <w:pStyle w:val="a9"/>
        <w:spacing w:line="360" w:lineRule="auto"/>
        <w:ind w:firstLine="709"/>
        <w:jc w:val="both"/>
        <w:rPr>
          <w:bCs/>
          <w:szCs w:val="28"/>
          <w:bdr w:val="none" w:sz="0" w:space="0" w:color="auto" w:frame="1"/>
          <w:lang w:val="uk-UA"/>
        </w:rPr>
      </w:pPr>
      <w:r w:rsidRPr="00FF091A">
        <w:rPr>
          <w:b w:val="0"/>
          <w:szCs w:val="28"/>
          <w:bdr w:val="none" w:sz="0" w:space="0" w:color="auto" w:frame="1"/>
        </w:rPr>
        <w:t xml:space="preserve">Важливим напрямом </w:t>
      </w:r>
      <w:proofErr w:type="spellStart"/>
      <w:r w:rsidRPr="00FF091A">
        <w:rPr>
          <w:b w:val="0"/>
          <w:szCs w:val="28"/>
          <w:bdr w:val="none" w:sz="0" w:space="0" w:color="auto" w:frame="1"/>
        </w:rPr>
        <w:t>децентралізаційної</w:t>
      </w:r>
      <w:proofErr w:type="spellEnd"/>
      <w:r w:rsidRPr="00FF091A">
        <w:rPr>
          <w:b w:val="0"/>
          <w:szCs w:val="28"/>
          <w:bdr w:val="none" w:sz="0" w:space="0" w:color="auto" w:frame="1"/>
        </w:rPr>
        <w:t xml:space="preserve"> реформи стало облаштування </w:t>
      </w:r>
      <w:r w:rsidR="00FF091A" w:rsidRPr="00FF091A">
        <w:rPr>
          <w:b w:val="0"/>
          <w:szCs w:val="28"/>
          <w:bdr w:val="none" w:sz="0" w:space="0" w:color="auto" w:frame="1"/>
          <w:lang w:val="uk-UA"/>
        </w:rPr>
        <w:t>Ц</w:t>
      </w:r>
      <w:proofErr w:type="spellStart"/>
      <w:r w:rsidR="00FF091A" w:rsidRPr="00FF091A">
        <w:rPr>
          <w:b w:val="0"/>
          <w:szCs w:val="28"/>
          <w:bdr w:val="none" w:sz="0" w:space="0" w:color="auto" w:frame="1"/>
        </w:rPr>
        <w:t>ентр</w:t>
      </w:r>
      <w:r w:rsidR="00FF091A" w:rsidRPr="00FF091A">
        <w:rPr>
          <w:b w:val="0"/>
          <w:szCs w:val="28"/>
          <w:bdr w:val="none" w:sz="0" w:space="0" w:color="auto" w:frame="1"/>
          <w:lang w:val="uk-UA"/>
        </w:rPr>
        <w:t>ів</w:t>
      </w:r>
      <w:proofErr w:type="spellEnd"/>
      <w:r w:rsidR="00FF091A" w:rsidRPr="00FF091A">
        <w:rPr>
          <w:b w:val="0"/>
          <w:szCs w:val="28"/>
          <w:bdr w:val="none" w:sz="0" w:space="0" w:color="auto" w:frame="1"/>
        </w:rPr>
        <w:t xml:space="preserve"> надання адміністративних послуг (ЦНАП)</w:t>
      </w:r>
      <w:r w:rsidR="00FF091A" w:rsidRPr="00FF091A">
        <w:rPr>
          <w:b w:val="0"/>
          <w:szCs w:val="28"/>
          <w:bdr w:val="none" w:sz="0" w:space="0" w:color="auto" w:frame="1"/>
          <w:lang w:val="uk-UA"/>
        </w:rPr>
        <w:t xml:space="preserve"> в рамках</w:t>
      </w:r>
      <w:r w:rsidR="00FF091A" w:rsidRPr="00FF091A">
        <w:rPr>
          <w:b w:val="0"/>
          <w:szCs w:val="28"/>
          <w:lang w:val="uk-UA"/>
        </w:rPr>
        <w:t xml:space="preserve"> проекту «Фаза впровадження Програми для України з розширення прав і можливостей на місцевому рівні, підзвітності та розвитку (</w:t>
      </w:r>
      <w:r w:rsidR="00FF091A" w:rsidRPr="00FF091A">
        <w:rPr>
          <w:b w:val="0"/>
          <w:szCs w:val="28"/>
          <w:lang w:val="en-US"/>
        </w:rPr>
        <w:t>U</w:t>
      </w:r>
      <w:r w:rsidR="00FF091A" w:rsidRPr="00FF091A">
        <w:rPr>
          <w:b w:val="0"/>
          <w:szCs w:val="28"/>
          <w:lang w:val="uk-UA"/>
        </w:rPr>
        <w:t>-</w:t>
      </w:r>
      <w:r w:rsidR="00FF091A" w:rsidRPr="00FF091A">
        <w:rPr>
          <w:b w:val="0"/>
          <w:szCs w:val="28"/>
          <w:lang w:val="en-US"/>
        </w:rPr>
        <w:t>LEAD</w:t>
      </w:r>
      <w:r w:rsidR="00FF091A" w:rsidRPr="00FF091A">
        <w:rPr>
          <w:b w:val="0"/>
          <w:szCs w:val="28"/>
          <w:lang w:val="uk-UA"/>
        </w:rPr>
        <w:t xml:space="preserve"> з Європою)»</w:t>
      </w:r>
      <w:r w:rsidR="00FF091A" w:rsidRPr="00FF091A">
        <w:rPr>
          <w:b w:val="0"/>
          <w:szCs w:val="28"/>
          <w:bdr w:val="none" w:sz="0" w:space="0" w:color="auto" w:frame="1"/>
          <w:lang w:val="uk-UA"/>
        </w:rPr>
        <w:t xml:space="preserve"> </w:t>
      </w:r>
      <w:r w:rsidR="00FF091A">
        <w:rPr>
          <w:b w:val="0"/>
          <w:szCs w:val="28"/>
          <w:bdr w:val="none" w:sz="0" w:space="0" w:color="auto" w:frame="1"/>
          <w:lang w:val="uk-UA"/>
        </w:rPr>
        <w:t xml:space="preserve">– </w:t>
      </w:r>
      <w:r w:rsidR="00335B95">
        <w:rPr>
          <w:b w:val="0"/>
          <w:szCs w:val="28"/>
          <w:bdr w:val="none" w:sz="0" w:space="0" w:color="auto" w:frame="1"/>
          <w:lang w:val="uk-UA"/>
        </w:rPr>
        <w:t xml:space="preserve">міжнародної програми, що фінансується </w:t>
      </w:r>
      <w:r w:rsidR="00FF091A" w:rsidRPr="002F32A1">
        <w:rPr>
          <w:b w:val="0"/>
          <w:szCs w:val="28"/>
          <w:bdr w:val="none" w:sz="0" w:space="0" w:color="auto" w:frame="1"/>
          <w:lang w:val="uk-UA"/>
        </w:rPr>
        <w:t>Швецією</w:t>
      </w:r>
      <w:r w:rsidRPr="00FF091A">
        <w:rPr>
          <w:b w:val="0"/>
          <w:szCs w:val="28"/>
          <w:bdr w:val="none" w:sz="0" w:space="0" w:color="auto" w:frame="1"/>
        </w:rPr>
        <w:t>.</w:t>
      </w:r>
      <w:r w:rsidR="00FF091A" w:rsidRPr="00FF091A">
        <w:rPr>
          <w:szCs w:val="28"/>
          <w:bdr w:val="none" w:sz="0" w:space="0" w:color="auto" w:frame="1"/>
        </w:rPr>
        <w:t xml:space="preserve"> </w:t>
      </w:r>
      <w:r w:rsidR="00FF091A" w:rsidRPr="00FF091A">
        <w:rPr>
          <w:b w:val="0"/>
          <w:szCs w:val="28"/>
          <w:lang w:val="uk-UA"/>
        </w:rPr>
        <w:t xml:space="preserve">Протягом  року було створено або модернізовано вісім ЦНАП в ОТГ Волинській області: </w:t>
      </w:r>
      <w:proofErr w:type="spellStart"/>
      <w:r w:rsidR="00FF091A" w:rsidRPr="00FF091A">
        <w:rPr>
          <w:b w:val="0"/>
          <w:szCs w:val="28"/>
          <w:lang w:val="uk-UA"/>
        </w:rPr>
        <w:t>Вишнів</w:t>
      </w:r>
      <w:proofErr w:type="spellEnd"/>
      <w:r w:rsidR="00FF091A" w:rsidRPr="00FF091A">
        <w:rPr>
          <w:b w:val="0"/>
          <w:szCs w:val="28"/>
          <w:lang w:val="uk-UA"/>
        </w:rPr>
        <w:t xml:space="preserve">, Прилісне, Павлівка, Дубове, </w:t>
      </w:r>
      <w:proofErr w:type="spellStart"/>
      <w:r w:rsidR="00FF091A" w:rsidRPr="00FF091A">
        <w:rPr>
          <w:b w:val="0"/>
          <w:szCs w:val="28"/>
          <w:lang w:val="uk-UA"/>
        </w:rPr>
        <w:t>Колодяжне</w:t>
      </w:r>
      <w:proofErr w:type="spellEnd"/>
      <w:r w:rsidR="00FF091A" w:rsidRPr="00FF091A">
        <w:rPr>
          <w:b w:val="0"/>
          <w:szCs w:val="28"/>
          <w:lang w:val="uk-UA"/>
        </w:rPr>
        <w:t xml:space="preserve">, </w:t>
      </w:r>
      <w:proofErr w:type="spellStart"/>
      <w:r w:rsidR="00FF091A" w:rsidRPr="00FF091A">
        <w:rPr>
          <w:b w:val="0"/>
          <w:szCs w:val="28"/>
          <w:lang w:val="uk-UA"/>
        </w:rPr>
        <w:t>Заболоття</w:t>
      </w:r>
      <w:proofErr w:type="spellEnd"/>
      <w:r w:rsidR="00FF091A" w:rsidRPr="00FF091A">
        <w:rPr>
          <w:b w:val="0"/>
          <w:szCs w:val="28"/>
          <w:lang w:val="uk-UA"/>
        </w:rPr>
        <w:t>, Заброди, Зимне.</w:t>
      </w:r>
      <w:r w:rsidR="00FF091A">
        <w:rPr>
          <w:b w:val="0"/>
          <w:szCs w:val="28"/>
          <w:lang w:val="uk-UA"/>
        </w:rPr>
        <w:t xml:space="preserve"> </w:t>
      </w:r>
      <w:r w:rsidR="00FF091A" w:rsidRPr="00FF091A">
        <w:rPr>
          <w:b w:val="0"/>
          <w:szCs w:val="28"/>
          <w:bdr w:val="none" w:sz="0" w:space="0" w:color="auto" w:frame="1"/>
        </w:rPr>
        <w:t xml:space="preserve">Зокрема, </w:t>
      </w:r>
      <w:r w:rsidR="002F32A1" w:rsidRPr="00FF091A">
        <w:rPr>
          <w:b w:val="0"/>
          <w:szCs w:val="28"/>
          <w:bdr w:val="none" w:sz="0" w:space="0" w:color="auto" w:frame="1"/>
        </w:rPr>
        <w:t xml:space="preserve">18 листопада у </w:t>
      </w:r>
      <w:proofErr w:type="spellStart"/>
      <w:r w:rsidR="002F32A1" w:rsidRPr="00FF091A">
        <w:rPr>
          <w:b w:val="0"/>
          <w:szCs w:val="28"/>
          <w:bdr w:val="none" w:sz="0" w:space="0" w:color="auto" w:frame="1"/>
        </w:rPr>
        <w:t>Вишнівській</w:t>
      </w:r>
      <w:proofErr w:type="spellEnd"/>
      <w:r w:rsidR="002F32A1" w:rsidRPr="00FF091A">
        <w:rPr>
          <w:b w:val="0"/>
          <w:szCs w:val="28"/>
          <w:bdr w:val="none" w:sz="0" w:space="0" w:color="auto" w:frame="1"/>
        </w:rPr>
        <w:t xml:space="preserve"> сільській ОТГ </w:t>
      </w:r>
      <w:r w:rsidR="00FF091A" w:rsidRPr="00FF091A">
        <w:rPr>
          <w:b w:val="0"/>
          <w:szCs w:val="28"/>
          <w:bdr w:val="none" w:sz="0" w:space="0" w:color="auto" w:frame="1"/>
        </w:rPr>
        <w:t xml:space="preserve">відбулося </w:t>
      </w:r>
      <w:r w:rsidR="002F32A1" w:rsidRPr="00FF091A">
        <w:rPr>
          <w:b w:val="0"/>
          <w:szCs w:val="28"/>
          <w:bdr w:val="none" w:sz="0" w:space="0" w:color="auto" w:frame="1"/>
        </w:rPr>
        <w:t xml:space="preserve">урочисте відкриття </w:t>
      </w:r>
      <w:r w:rsidR="00FF091A" w:rsidRPr="00FF091A">
        <w:rPr>
          <w:b w:val="0"/>
          <w:szCs w:val="28"/>
          <w:bdr w:val="none" w:sz="0" w:space="0" w:color="auto" w:frame="1"/>
        </w:rPr>
        <w:t>ЦНАП</w:t>
      </w:r>
      <w:r w:rsidR="002F32A1" w:rsidRPr="00FF091A">
        <w:rPr>
          <w:b w:val="0"/>
          <w:szCs w:val="28"/>
          <w:bdr w:val="none" w:sz="0" w:space="0" w:color="auto" w:frame="1"/>
        </w:rPr>
        <w:t>,</w:t>
      </w:r>
      <w:r w:rsidR="002F32A1" w:rsidRPr="002F32A1">
        <w:rPr>
          <w:b w:val="0"/>
          <w:szCs w:val="28"/>
          <w:bdr w:val="none" w:sz="0" w:space="0" w:color="auto" w:frame="1"/>
        </w:rPr>
        <w:t xml:space="preserve"> який відповідає сучасним вимогам та європейським стандартам. </w:t>
      </w:r>
      <w:proofErr w:type="spellStart"/>
      <w:r w:rsidR="002F32A1" w:rsidRPr="002F32A1">
        <w:rPr>
          <w:b w:val="0"/>
          <w:szCs w:val="28"/>
          <w:bdr w:val="none" w:sz="0" w:space="0" w:color="auto" w:frame="1"/>
        </w:rPr>
        <w:t>Вишнівська</w:t>
      </w:r>
      <w:proofErr w:type="spellEnd"/>
      <w:r w:rsidR="002F32A1" w:rsidRPr="002F32A1">
        <w:rPr>
          <w:b w:val="0"/>
          <w:szCs w:val="28"/>
          <w:bdr w:val="none" w:sz="0" w:space="0" w:color="auto" w:frame="1"/>
        </w:rPr>
        <w:t xml:space="preserve"> ОТГ отримала значну підтримку від </w:t>
      </w:r>
      <w:r w:rsidR="002F32A1" w:rsidRPr="002F32A1">
        <w:rPr>
          <w:b w:val="0"/>
          <w:bCs/>
          <w:szCs w:val="28"/>
          <w:bdr w:val="none" w:sz="0" w:space="0" w:color="auto" w:frame="1"/>
        </w:rPr>
        <w:t>Програми «</w:t>
      </w:r>
      <w:r w:rsidR="002F32A1" w:rsidRPr="002F32A1">
        <w:rPr>
          <w:b w:val="0"/>
          <w:bCs/>
          <w:szCs w:val="28"/>
          <w:bdr w:val="none" w:sz="0" w:space="0" w:color="auto" w:frame="1"/>
          <w:lang w:val="en-US"/>
        </w:rPr>
        <w:t>U</w:t>
      </w:r>
      <w:r w:rsidR="002F32A1" w:rsidRPr="002F32A1">
        <w:rPr>
          <w:b w:val="0"/>
          <w:bCs/>
          <w:szCs w:val="28"/>
          <w:bdr w:val="none" w:sz="0" w:space="0" w:color="auto" w:frame="1"/>
        </w:rPr>
        <w:t>-</w:t>
      </w:r>
      <w:r w:rsidR="002F32A1" w:rsidRPr="002F32A1">
        <w:rPr>
          <w:b w:val="0"/>
          <w:bCs/>
          <w:szCs w:val="28"/>
          <w:bdr w:val="none" w:sz="0" w:space="0" w:color="auto" w:frame="1"/>
          <w:lang w:val="en-US"/>
        </w:rPr>
        <w:t>LEAD</w:t>
      </w:r>
      <w:r w:rsidR="00FF091A">
        <w:rPr>
          <w:bCs/>
          <w:szCs w:val="28"/>
          <w:bdr w:val="none" w:sz="0" w:space="0" w:color="auto" w:frame="1"/>
        </w:rPr>
        <w:t xml:space="preserve"> з </w:t>
      </w:r>
      <w:r w:rsidR="00FF091A" w:rsidRPr="00FF091A">
        <w:rPr>
          <w:b w:val="0"/>
          <w:bCs/>
          <w:szCs w:val="28"/>
          <w:bdr w:val="none" w:sz="0" w:space="0" w:color="auto" w:frame="1"/>
        </w:rPr>
        <w:t>Європою».</w:t>
      </w:r>
      <w:r w:rsidR="00FF091A">
        <w:rPr>
          <w:bCs/>
          <w:szCs w:val="28"/>
          <w:bdr w:val="none" w:sz="0" w:space="0" w:color="auto" w:frame="1"/>
        </w:rPr>
        <w:t xml:space="preserve"> </w:t>
      </w:r>
      <w:r w:rsidR="00F07C58" w:rsidRPr="00F07C58">
        <w:rPr>
          <w:b w:val="0"/>
          <w:color w:val="333333"/>
          <w:szCs w:val="28"/>
        </w:rPr>
        <w:t xml:space="preserve">У листопаді в </w:t>
      </w:r>
      <w:proofErr w:type="spellStart"/>
      <w:r w:rsidR="00F07C58" w:rsidRPr="00F07C58">
        <w:rPr>
          <w:b w:val="0"/>
          <w:color w:val="333333"/>
          <w:szCs w:val="28"/>
        </w:rPr>
        <w:t>Устилузькій</w:t>
      </w:r>
      <w:proofErr w:type="spellEnd"/>
      <w:r w:rsidR="00F07C58" w:rsidRPr="00F07C58">
        <w:rPr>
          <w:b w:val="0"/>
          <w:color w:val="333333"/>
          <w:szCs w:val="28"/>
        </w:rPr>
        <w:t xml:space="preserve"> міській ОТГ почав роботу мобільний ЦНАП, створений завдяки партнерству громади з Програмою «U-LEAD з Європою». Мобільний ЦНАП буде надавати 80 послуг та ще 49 через стаціонарний ЦНАП. </w:t>
      </w:r>
      <w:r w:rsidR="00F07C58">
        <w:rPr>
          <w:b w:val="0"/>
          <w:color w:val="333333"/>
          <w:szCs w:val="28"/>
          <w:lang w:val="uk-UA"/>
        </w:rPr>
        <w:t>М</w:t>
      </w:r>
      <w:proofErr w:type="spellStart"/>
      <w:r w:rsidR="00F07C58">
        <w:rPr>
          <w:b w:val="0"/>
          <w:color w:val="333333"/>
          <w:szCs w:val="28"/>
        </w:rPr>
        <w:t>ешканці</w:t>
      </w:r>
      <w:proofErr w:type="spellEnd"/>
      <w:r w:rsidR="00F07C58" w:rsidRPr="00F07C58">
        <w:rPr>
          <w:b w:val="0"/>
          <w:color w:val="333333"/>
          <w:szCs w:val="28"/>
        </w:rPr>
        <w:t xml:space="preserve"> 25 населених пунктів </w:t>
      </w:r>
      <w:r w:rsidR="00F07C58">
        <w:rPr>
          <w:b w:val="0"/>
          <w:color w:val="333333"/>
          <w:szCs w:val="28"/>
          <w:lang w:val="uk-UA"/>
        </w:rPr>
        <w:t xml:space="preserve">ОТГ </w:t>
      </w:r>
      <w:r w:rsidR="00F07C58" w:rsidRPr="00F07C58">
        <w:rPr>
          <w:b w:val="0"/>
          <w:color w:val="333333"/>
          <w:szCs w:val="28"/>
        </w:rPr>
        <w:t xml:space="preserve">будуть отримувати якісні </w:t>
      </w:r>
      <w:proofErr w:type="spellStart"/>
      <w:r w:rsidR="00F07C58" w:rsidRPr="00F07C58">
        <w:rPr>
          <w:b w:val="0"/>
          <w:color w:val="333333"/>
          <w:szCs w:val="28"/>
        </w:rPr>
        <w:t>адмінпослуги</w:t>
      </w:r>
      <w:proofErr w:type="spellEnd"/>
      <w:r w:rsidR="00F07C58" w:rsidRPr="00F07C58">
        <w:rPr>
          <w:b w:val="0"/>
          <w:color w:val="333333"/>
          <w:szCs w:val="28"/>
        </w:rPr>
        <w:t xml:space="preserve"> поряд  зі своєю домівкою. Затверджено чотири маршрути мобільного центру зі щоденними виїздами.</w:t>
      </w:r>
    </w:p>
    <w:p w14:paraId="0DD96FDA" w14:textId="23BD0194" w:rsidR="00840696" w:rsidRPr="007967EB" w:rsidRDefault="00EE7262" w:rsidP="008158B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auto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Окрім </w:t>
      </w:r>
      <w:proofErr w:type="spellStart"/>
      <w:r>
        <w:rPr>
          <w:color w:val="auto"/>
          <w:sz w:val="28"/>
          <w:szCs w:val="28"/>
          <w:bdr w:val="none" w:sz="0" w:space="0" w:color="auto" w:frame="1"/>
          <w:shd w:val="clear" w:color="auto" w:fill="FFFFFF"/>
        </w:rPr>
        <w:t>Горохівського</w:t>
      </w:r>
      <w:proofErr w:type="spellEnd"/>
      <w:r>
        <w:rPr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 району, активізувалися </w:t>
      </w:r>
      <w:proofErr w:type="spellStart"/>
      <w:r>
        <w:rPr>
          <w:color w:val="auto"/>
          <w:sz w:val="28"/>
          <w:szCs w:val="28"/>
          <w:bdr w:val="none" w:sz="0" w:space="0" w:color="auto" w:frame="1"/>
          <w:shd w:val="clear" w:color="auto" w:fill="FFFFFF"/>
        </w:rPr>
        <w:t>децентралізаційні</w:t>
      </w:r>
      <w:proofErr w:type="spellEnd"/>
      <w:r>
        <w:rPr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 процеси ще у двох районах, в яких утворення ОТГ мало значні труднощі. </w:t>
      </w:r>
      <w:r w:rsidR="002F32A1" w:rsidRPr="002F32A1">
        <w:rPr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22 грудня 2019 р. </w:t>
      </w:r>
      <w:hyperlink r:id="rId10" w:history="1">
        <w:r w:rsidR="002F32A1" w:rsidRPr="002F32A1">
          <w:rPr>
            <w:rStyle w:val="a7"/>
            <w:bCs/>
            <w:color w:val="auto"/>
            <w:sz w:val="28"/>
            <w:szCs w:val="28"/>
            <w:u w:val="none"/>
            <w:bdr w:val="none" w:sz="0" w:space="0" w:color="auto" w:frame="1"/>
          </w:rPr>
          <w:t>провели перші вибори</w:t>
        </w:r>
      </w:hyperlink>
      <w:r w:rsidR="002F32A1" w:rsidRPr="002F32A1">
        <w:rPr>
          <w:color w:val="auto"/>
          <w:sz w:val="28"/>
          <w:szCs w:val="28"/>
          <w:bdr w:val="none" w:sz="0" w:space="0" w:color="auto" w:frame="1"/>
          <w:shd w:val="clear" w:color="auto" w:fill="FFFFFF"/>
        </w:rPr>
        <w:t> </w:t>
      </w:r>
      <w:r>
        <w:rPr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голів і депутатів у </w:t>
      </w:r>
      <w:proofErr w:type="spellStart"/>
      <w:r>
        <w:rPr>
          <w:color w:val="auto"/>
          <w:sz w:val="28"/>
          <w:szCs w:val="28"/>
          <w:bdr w:val="none" w:sz="0" w:space="0" w:color="auto" w:frame="1"/>
          <w:shd w:val="clear" w:color="auto" w:fill="FFFFFF"/>
        </w:rPr>
        <w:t>Сошиченській</w:t>
      </w:r>
      <w:proofErr w:type="spellEnd"/>
      <w:r>
        <w:rPr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 ОТГ</w:t>
      </w:r>
      <w:r w:rsidR="002F32A1" w:rsidRPr="002F32A1">
        <w:rPr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F32A1" w:rsidRPr="002F32A1">
        <w:rPr>
          <w:color w:val="auto"/>
          <w:sz w:val="28"/>
          <w:szCs w:val="28"/>
          <w:bdr w:val="none" w:sz="0" w:space="0" w:color="auto" w:frame="1"/>
          <w:shd w:val="clear" w:color="auto" w:fill="FFFFFF"/>
        </w:rPr>
        <w:t>Камінь-Каширського</w:t>
      </w:r>
      <w:proofErr w:type="spellEnd"/>
      <w:r w:rsidR="002F32A1" w:rsidRPr="002F32A1">
        <w:rPr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F32A1" w:rsidRPr="002F32A1">
        <w:rPr>
          <w:color w:val="auto"/>
          <w:sz w:val="28"/>
          <w:szCs w:val="28"/>
          <w:bdr w:val="none" w:sz="0" w:space="0" w:color="auto" w:frame="1"/>
          <w:shd w:val="clear" w:color="auto" w:fill="FFFFFF"/>
        </w:rPr>
        <w:t>та </w:t>
      </w:r>
      <w:hyperlink r:id="rId11" w:history="1">
        <w:r w:rsidR="002F32A1" w:rsidRPr="002F32A1">
          <w:rPr>
            <w:rStyle w:val="a7"/>
            <w:bCs/>
            <w:color w:val="auto"/>
            <w:sz w:val="28"/>
            <w:szCs w:val="28"/>
            <w:u w:val="none"/>
            <w:bdr w:val="none" w:sz="0" w:space="0" w:color="auto" w:frame="1"/>
          </w:rPr>
          <w:t>Доросинівсь</w:t>
        </w:r>
        <w:proofErr w:type="spellEnd"/>
        <w:r w:rsidR="002F32A1" w:rsidRPr="002F32A1">
          <w:rPr>
            <w:rStyle w:val="a7"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кій </w:t>
        </w:r>
        <w:r>
          <w:rPr>
            <w:rStyle w:val="a7"/>
            <w:bCs/>
            <w:color w:val="auto"/>
            <w:sz w:val="28"/>
            <w:szCs w:val="28"/>
            <w:u w:val="none"/>
            <w:bdr w:val="none" w:sz="0" w:space="0" w:color="auto" w:frame="1"/>
          </w:rPr>
          <w:t>ОТГ</w:t>
        </w:r>
        <w:r w:rsidR="002F32A1" w:rsidRPr="002F32A1">
          <w:rPr>
            <w:rStyle w:val="a7"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2F32A1" w:rsidRPr="002F32A1">
          <w:rPr>
            <w:rStyle w:val="a7"/>
            <w:bCs/>
            <w:color w:val="auto"/>
            <w:sz w:val="28"/>
            <w:szCs w:val="28"/>
            <w:u w:val="none"/>
            <w:bdr w:val="none" w:sz="0" w:space="0" w:color="auto" w:frame="1"/>
          </w:rPr>
          <w:t>Рожищенського</w:t>
        </w:r>
        <w:proofErr w:type="spellEnd"/>
        <w:r w:rsidR="002F32A1" w:rsidRPr="002F32A1">
          <w:rPr>
            <w:rStyle w:val="a7"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 районів</w:t>
        </w:r>
      </w:hyperlink>
      <w:r>
        <w:rPr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proofErr w:type="spellStart"/>
      <w:r w:rsidR="00840696">
        <w:rPr>
          <w:color w:val="auto"/>
          <w:sz w:val="28"/>
          <w:szCs w:val="28"/>
          <w:bdr w:val="none" w:sz="0" w:space="0" w:color="auto" w:frame="1"/>
          <w:shd w:val="clear" w:color="auto" w:fill="FFFFFF"/>
        </w:rPr>
        <w:t>Сошичненська</w:t>
      </w:r>
      <w:proofErr w:type="spellEnd"/>
      <w:r w:rsidR="00840696">
        <w:rPr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 громада об’єднала</w:t>
      </w:r>
      <w:r w:rsidRPr="002F32A1">
        <w:rPr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 чотири села</w:t>
      </w:r>
      <w:r w:rsidR="00840696">
        <w:rPr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 двох сільських рад: </w:t>
      </w:r>
      <w:proofErr w:type="spellStart"/>
      <w:r w:rsidR="00840696">
        <w:rPr>
          <w:color w:val="auto"/>
          <w:sz w:val="28"/>
          <w:szCs w:val="28"/>
          <w:bdr w:val="none" w:sz="0" w:space="0" w:color="auto" w:frame="1"/>
          <w:shd w:val="clear" w:color="auto" w:fill="FFFFFF"/>
        </w:rPr>
        <w:t>Сошичненської</w:t>
      </w:r>
      <w:proofErr w:type="spellEnd"/>
      <w:r w:rsidR="00840696">
        <w:rPr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 і </w:t>
      </w:r>
      <w:proofErr w:type="spellStart"/>
      <w:r w:rsidR="00840696">
        <w:rPr>
          <w:color w:val="auto"/>
          <w:sz w:val="28"/>
          <w:szCs w:val="28"/>
          <w:bdr w:val="none" w:sz="0" w:space="0" w:color="auto" w:frame="1"/>
          <w:shd w:val="clear" w:color="auto" w:fill="FFFFFF"/>
        </w:rPr>
        <w:t>Карасинської</w:t>
      </w:r>
      <w:proofErr w:type="spellEnd"/>
      <w:r w:rsidR="00840696">
        <w:rPr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 з населенням 3568 осіб. На жаль</w:t>
      </w:r>
      <w:r w:rsidR="008158BA">
        <w:rPr>
          <w:color w:val="auto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840696">
        <w:rPr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 інші п’ять сільських рад, </w:t>
      </w:r>
      <w:r w:rsidR="00840696">
        <w:rPr>
          <w:color w:val="auto"/>
          <w:sz w:val="28"/>
          <w:szCs w:val="28"/>
          <w:bdr w:val="none" w:sz="0" w:space="0" w:color="auto" w:frame="1"/>
          <w:shd w:val="clear" w:color="auto" w:fill="FFFFFF"/>
        </w:rPr>
        <w:lastRenderedPageBreak/>
        <w:t>передбачені у складі цієї ОТГ перспективним планом, відмовилися прийняти відповідні рішення.</w:t>
      </w:r>
      <w:r w:rsidR="008158BA">
        <w:rPr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40696">
        <w:rPr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До складу </w:t>
      </w:r>
      <w:proofErr w:type="spellStart"/>
      <w:r w:rsidR="00840696">
        <w:rPr>
          <w:color w:val="auto"/>
          <w:sz w:val="28"/>
          <w:szCs w:val="28"/>
          <w:bdr w:val="none" w:sz="0" w:space="0" w:color="auto" w:frame="1"/>
          <w:shd w:val="clear" w:color="auto" w:fill="FFFFFF"/>
        </w:rPr>
        <w:t>Доросинівської</w:t>
      </w:r>
      <w:proofErr w:type="spellEnd"/>
      <w:r w:rsidR="00840696">
        <w:rPr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 ОТГ ввійшло п’ять сільськ</w:t>
      </w:r>
      <w:r w:rsidR="00B658B3">
        <w:rPr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их рад: </w:t>
      </w:r>
      <w:proofErr w:type="spellStart"/>
      <w:r w:rsidR="00B658B3">
        <w:rPr>
          <w:color w:val="auto"/>
          <w:sz w:val="28"/>
          <w:szCs w:val="28"/>
          <w:bdr w:val="none" w:sz="0" w:space="0" w:color="auto" w:frame="1"/>
          <w:shd w:val="clear" w:color="auto" w:fill="FFFFFF"/>
        </w:rPr>
        <w:t>Доросинівська</w:t>
      </w:r>
      <w:proofErr w:type="spellEnd"/>
      <w:r w:rsidR="00B658B3">
        <w:rPr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B658B3">
        <w:rPr>
          <w:color w:val="auto"/>
          <w:sz w:val="28"/>
          <w:szCs w:val="28"/>
          <w:bdr w:val="none" w:sz="0" w:space="0" w:color="auto" w:frame="1"/>
          <w:shd w:val="clear" w:color="auto" w:fill="FFFFFF"/>
        </w:rPr>
        <w:t>Береська</w:t>
      </w:r>
      <w:proofErr w:type="spellEnd"/>
      <w:r w:rsidR="00840696">
        <w:rPr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840696">
        <w:rPr>
          <w:color w:val="auto"/>
          <w:sz w:val="28"/>
          <w:szCs w:val="28"/>
          <w:bdr w:val="none" w:sz="0" w:space="0" w:color="auto" w:frame="1"/>
          <w:shd w:val="clear" w:color="auto" w:fill="FFFFFF"/>
        </w:rPr>
        <w:t>Вічинівська</w:t>
      </w:r>
      <w:proofErr w:type="spellEnd"/>
      <w:r w:rsidR="00840696">
        <w:rPr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840696">
        <w:rPr>
          <w:color w:val="auto"/>
          <w:sz w:val="28"/>
          <w:szCs w:val="28"/>
          <w:bdr w:val="none" w:sz="0" w:space="0" w:color="auto" w:frame="1"/>
          <w:shd w:val="clear" w:color="auto" w:fill="FFFFFF"/>
        </w:rPr>
        <w:t>Ворончинська</w:t>
      </w:r>
      <w:proofErr w:type="spellEnd"/>
      <w:r w:rsidR="00840696">
        <w:rPr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840696">
        <w:rPr>
          <w:color w:val="auto"/>
          <w:sz w:val="28"/>
          <w:szCs w:val="28"/>
          <w:bdr w:val="none" w:sz="0" w:space="0" w:color="auto" w:frame="1"/>
          <w:shd w:val="clear" w:color="auto" w:fill="FFFFFF"/>
        </w:rPr>
        <w:t>Немирська</w:t>
      </w:r>
      <w:proofErr w:type="spellEnd"/>
      <w:r w:rsidR="00840696">
        <w:rPr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 з населенням</w:t>
      </w:r>
      <w:r w:rsidR="008158BA">
        <w:rPr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 3457 осіб. Ще</w:t>
      </w:r>
      <w:r w:rsidR="00840696">
        <w:rPr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158BA">
        <w:rPr>
          <w:color w:val="auto"/>
          <w:sz w:val="28"/>
          <w:szCs w:val="28"/>
          <w:bdr w:val="none" w:sz="0" w:space="0" w:color="auto" w:frame="1"/>
          <w:shd w:val="clear" w:color="auto" w:fill="FFFFFF"/>
        </w:rPr>
        <w:t>дві сільські ради, передбачені у складі цієї ОТГ перспективним планом, з різних причин відмовилися від об’єднання. Створення зазначених ОТГ у не повному складі, зважаючи на невелику кількість населення, що становить менше п’яти тисяч населення, суттєво зменшує потенційні можливості цих громад.</w:t>
      </w:r>
      <w:r w:rsidR="007967EB" w:rsidRPr="007967EB">
        <w:rPr>
          <w:color w:val="auto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="007967EB">
        <w:rPr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Слід зазначити, що саме за цим показником (кількість ОТГ з населенням менше 5 тис. осіб) у рейтингу регіонів щодо формування спроможних громад Волинська область займає найнижче 12 місце </w:t>
      </w:r>
      <w:r w:rsidR="00F07C58">
        <w:rPr>
          <w:color w:val="auto"/>
          <w:sz w:val="28"/>
          <w:szCs w:val="28"/>
          <w:bdr w:val="none" w:sz="0" w:space="0" w:color="auto" w:frame="1"/>
          <w:shd w:val="clear" w:color="auto" w:fill="FFFFFF"/>
          <w:lang w:val="ru-RU"/>
        </w:rPr>
        <w:t>[</w:t>
      </w:r>
      <w:r w:rsidR="00585A72">
        <w:rPr>
          <w:color w:val="auto"/>
          <w:sz w:val="28"/>
          <w:szCs w:val="28"/>
          <w:bdr w:val="none" w:sz="0" w:space="0" w:color="auto" w:frame="1"/>
          <w:shd w:val="clear" w:color="auto" w:fill="FFFFFF"/>
          <w:lang w:val="ru-RU"/>
        </w:rPr>
        <w:t>3</w:t>
      </w:r>
      <w:r w:rsidR="007967EB" w:rsidRPr="007967EB">
        <w:rPr>
          <w:color w:val="auto"/>
          <w:sz w:val="28"/>
          <w:szCs w:val="28"/>
          <w:bdr w:val="none" w:sz="0" w:space="0" w:color="auto" w:frame="1"/>
          <w:shd w:val="clear" w:color="auto" w:fill="FFFFFF"/>
          <w:lang w:val="ru-RU"/>
        </w:rPr>
        <w:t>]</w:t>
      </w:r>
      <w:r w:rsidR="007967EB">
        <w:rPr>
          <w:color w:val="auto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056FF8A9" w14:textId="2C4B7172" w:rsidR="000C484C" w:rsidRDefault="00EE7262" w:rsidP="003F330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У цей же день пройшли </w:t>
      </w:r>
      <w:r w:rsidR="002F32A1" w:rsidRPr="002F32A1">
        <w:rPr>
          <w:color w:val="auto"/>
          <w:sz w:val="28"/>
          <w:szCs w:val="28"/>
          <w:bdr w:val="none" w:sz="0" w:space="0" w:color="auto" w:frame="1"/>
          <w:shd w:val="clear" w:color="auto" w:fill="FFFFFF"/>
        </w:rPr>
        <w:t>додаткові вибори де</w:t>
      </w:r>
      <w:r>
        <w:rPr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путатів у </w:t>
      </w:r>
      <w:proofErr w:type="spellStart"/>
      <w:r>
        <w:rPr>
          <w:color w:val="auto"/>
          <w:sz w:val="28"/>
          <w:szCs w:val="28"/>
          <w:bdr w:val="none" w:sz="0" w:space="0" w:color="auto" w:frame="1"/>
          <w:shd w:val="clear" w:color="auto" w:fill="FFFFFF"/>
        </w:rPr>
        <w:t>Романівській</w:t>
      </w:r>
      <w:proofErr w:type="spellEnd"/>
      <w:r>
        <w:rPr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 сільській раді, що приєдналася до у </w:t>
      </w:r>
      <w:proofErr w:type="spellStart"/>
      <w:r>
        <w:rPr>
          <w:color w:val="auto"/>
          <w:sz w:val="28"/>
          <w:szCs w:val="28"/>
          <w:bdr w:val="none" w:sz="0" w:space="0" w:color="auto" w:frame="1"/>
          <w:shd w:val="clear" w:color="auto" w:fill="FFFFFF"/>
        </w:rPr>
        <w:t>Підгайцівської</w:t>
      </w:r>
      <w:proofErr w:type="spellEnd"/>
      <w:r>
        <w:rPr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 ОТГ</w:t>
      </w:r>
      <w:r w:rsidRPr="002F32A1">
        <w:rPr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 Луцького</w:t>
      </w:r>
      <w:r>
        <w:rPr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 району</w:t>
      </w:r>
      <w:r w:rsidR="002F32A1" w:rsidRPr="002F32A1">
        <w:rPr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color w:val="auto"/>
          <w:sz w:val="28"/>
          <w:szCs w:val="28"/>
          <w:bdr w:val="none" w:sz="0" w:space="0" w:color="auto" w:frame="1"/>
          <w:shd w:val="clear" w:color="auto" w:fill="FFFFFF"/>
        </w:rPr>
        <w:t>Кримненській</w:t>
      </w:r>
      <w:proofErr w:type="spellEnd"/>
      <w:r>
        <w:rPr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 сільраді, що приєдналася до</w:t>
      </w:r>
      <w:r w:rsidRPr="002F32A1">
        <w:rPr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auto"/>
          <w:sz w:val="28"/>
          <w:szCs w:val="28"/>
          <w:bdr w:val="none" w:sz="0" w:space="0" w:color="auto" w:frame="1"/>
          <w:shd w:val="clear" w:color="auto" w:fill="FFFFFF"/>
        </w:rPr>
        <w:t>Дубечненської</w:t>
      </w:r>
      <w:proofErr w:type="spellEnd"/>
      <w:r>
        <w:rPr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 ОТГ</w:t>
      </w:r>
      <w:r w:rsidR="002F32A1" w:rsidRPr="002F32A1">
        <w:rPr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auto"/>
          <w:sz w:val="28"/>
          <w:szCs w:val="28"/>
          <w:bdr w:val="none" w:sz="0" w:space="0" w:color="auto" w:frame="1"/>
          <w:shd w:val="clear" w:color="auto" w:fill="FFFFFF"/>
        </w:rPr>
        <w:t>Старовижівського</w:t>
      </w:r>
      <w:proofErr w:type="spellEnd"/>
      <w:r>
        <w:rPr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 району</w:t>
      </w:r>
      <w:r w:rsidRPr="002F32A1">
        <w:rPr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F32A1" w:rsidRPr="002F32A1">
        <w:rPr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та </w:t>
      </w:r>
      <w:proofErr w:type="spellStart"/>
      <w:r>
        <w:rPr>
          <w:color w:val="auto"/>
          <w:sz w:val="28"/>
          <w:szCs w:val="28"/>
          <w:bdr w:val="none" w:sz="0" w:space="0" w:color="auto" w:frame="1"/>
          <w:shd w:val="clear" w:color="auto" w:fill="FFFFFF"/>
        </w:rPr>
        <w:t>Журавлинській</w:t>
      </w:r>
      <w:proofErr w:type="spellEnd"/>
      <w:r>
        <w:rPr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 сільській раді, що </w:t>
      </w:r>
      <w:proofErr w:type="spellStart"/>
      <w:r>
        <w:rPr>
          <w:color w:val="auto"/>
          <w:sz w:val="28"/>
          <w:szCs w:val="28"/>
          <w:bdr w:val="none" w:sz="0" w:space="0" w:color="auto" w:frame="1"/>
          <w:shd w:val="clear" w:color="auto" w:fill="FFFFFF"/>
        </w:rPr>
        <w:t>приєналася</w:t>
      </w:r>
      <w:proofErr w:type="spellEnd"/>
      <w:r>
        <w:rPr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 до</w:t>
      </w:r>
      <w:r w:rsidRPr="002F32A1">
        <w:rPr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auto"/>
          <w:sz w:val="28"/>
          <w:szCs w:val="28"/>
          <w:bdr w:val="none" w:sz="0" w:space="0" w:color="auto" w:frame="1"/>
          <w:shd w:val="clear" w:color="auto" w:fill="FFFFFF"/>
        </w:rPr>
        <w:t>Смідинської</w:t>
      </w:r>
      <w:proofErr w:type="spellEnd"/>
      <w:r>
        <w:rPr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 ОТГ</w:t>
      </w:r>
      <w:r w:rsidR="002F32A1" w:rsidRPr="002F32A1">
        <w:rPr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auto"/>
          <w:sz w:val="28"/>
          <w:szCs w:val="28"/>
          <w:bdr w:val="none" w:sz="0" w:space="0" w:color="auto" w:frame="1"/>
          <w:shd w:val="clear" w:color="auto" w:fill="FFFFFF"/>
        </w:rPr>
        <w:t>Старовижівського</w:t>
      </w:r>
      <w:proofErr w:type="spellEnd"/>
      <w:r>
        <w:rPr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 району, </w:t>
      </w:r>
      <w:proofErr w:type="spellStart"/>
      <w:r w:rsidRPr="002F32A1">
        <w:rPr>
          <w:color w:val="auto"/>
          <w:sz w:val="28"/>
          <w:szCs w:val="28"/>
          <w:bdr w:val="none" w:sz="0" w:space="0" w:color="auto" w:frame="1"/>
          <w:shd w:val="clear" w:color="auto" w:fill="FFFFFF"/>
        </w:rPr>
        <w:t>Соловичі</w:t>
      </w:r>
      <w:r>
        <w:rPr>
          <w:color w:val="auto"/>
          <w:sz w:val="28"/>
          <w:szCs w:val="28"/>
          <w:bdr w:val="none" w:sz="0" w:space="0" w:color="auto" w:frame="1"/>
          <w:shd w:val="clear" w:color="auto" w:fill="FFFFFF"/>
        </w:rPr>
        <w:t>вській</w:t>
      </w:r>
      <w:proofErr w:type="spellEnd"/>
      <w:r>
        <w:rPr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 сільські раді, що приєдналася до</w:t>
      </w:r>
      <w:r w:rsidRPr="002F32A1">
        <w:rPr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auto"/>
          <w:sz w:val="28"/>
          <w:szCs w:val="28"/>
          <w:bdr w:val="none" w:sz="0" w:space="0" w:color="auto" w:frame="1"/>
          <w:shd w:val="clear" w:color="auto" w:fill="FFFFFF"/>
        </w:rPr>
        <w:t>Турійської</w:t>
      </w:r>
      <w:proofErr w:type="spellEnd"/>
      <w:r>
        <w:rPr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 селищної ОТГ.</w:t>
      </w:r>
      <w:r w:rsidR="008158BA">
        <w:rPr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 Таким чином, позитивний процес приєднання суміжних громад до ОТГ у Волинській області у 2019 р. мав продовження. Адже ті громади, що вичікували, побачивши успішний розвиток ОТГ, зважилися на приєднання. Однак, ті громади, що вирішили приєднатися до ОТГ, що розташовані в суміжних районах, так і цього року не змогли реалізувати своє право участі в децентралізації. Верховна Рада так і не спромоглася внести відповідні зміни до Закону України «Про добровільне об’єднання територіальних громад»</w:t>
      </w:r>
      <w:r w:rsidR="003F3303">
        <w:rPr>
          <w:color w:val="auto"/>
          <w:sz w:val="28"/>
          <w:szCs w:val="28"/>
          <w:bdr w:val="none" w:sz="0" w:space="0" w:color="auto" w:frame="1"/>
          <w:shd w:val="clear" w:color="auto" w:fill="FFFFFF"/>
        </w:rPr>
        <w:t>, відповідно</w:t>
      </w:r>
      <w:r w:rsidR="008158BA">
        <w:rPr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C484C">
        <w:rPr>
          <w:sz w:val="28"/>
          <w:szCs w:val="28"/>
          <w:shd w:val="clear" w:color="auto" w:fill="FFFFFF"/>
        </w:rPr>
        <w:t xml:space="preserve">ЦВК відмовила у призначенні додаткових виборів </w:t>
      </w:r>
      <w:r w:rsidR="00CC4981">
        <w:rPr>
          <w:sz w:val="28"/>
          <w:szCs w:val="28"/>
          <w:shd w:val="clear" w:color="auto" w:fill="FFFFFF"/>
        </w:rPr>
        <w:t>у</w:t>
      </w:r>
      <w:r w:rsidR="000C484C">
        <w:rPr>
          <w:sz w:val="28"/>
          <w:szCs w:val="28"/>
          <w:shd w:val="clear" w:color="auto" w:fill="FFFFFF"/>
        </w:rPr>
        <w:t>:</w:t>
      </w:r>
      <w:r w:rsidR="003F3303" w:rsidRPr="00DE41FF">
        <w:rPr>
          <w:sz w:val="28"/>
          <w:szCs w:val="28"/>
          <w:shd w:val="clear" w:color="auto" w:fill="FFFFFF"/>
        </w:rPr>
        <w:t xml:space="preserve"> </w:t>
      </w:r>
    </w:p>
    <w:p w14:paraId="13F2820A" w14:textId="77777777" w:rsidR="000C484C" w:rsidRDefault="000C484C" w:rsidP="003F330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Іванчицівській</w:t>
      </w:r>
      <w:proofErr w:type="spellEnd"/>
      <w:r w:rsidRPr="00DE41F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сільраді</w:t>
      </w:r>
      <w:r w:rsidRPr="00DE41F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E41FF">
        <w:rPr>
          <w:sz w:val="28"/>
          <w:szCs w:val="28"/>
          <w:shd w:val="clear" w:color="auto" w:fill="FFFFFF"/>
        </w:rPr>
        <w:t>Рожищенського</w:t>
      </w:r>
      <w:proofErr w:type="spellEnd"/>
      <w:r w:rsidRPr="00DE41FF">
        <w:rPr>
          <w:sz w:val="28"/>
          <w:szCs w:val="28"/>
          <w:shd w:val="clear" w:color="auto" w:fill="FFFFFF"/>
        </w:rPr>
        <w:t xml:space="preserve"> району</w:t>
      </w:r>
      <w:r>
        <w:rPr>
          <w:sz w:val="28"/>
          <w:szCs w:val="28"/>
          <w:shd w:val="clear" w:color="auto" w:fill="FFFFFF"/>
        </w:rPr>
        <w:t>, що приєдналася до</w:t>
      </w:r>
      <w:r w:rsidRPr="00DE41FF"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Княгининівської</w:t>
      </w:r>
      <w:proofErr w:type="spellEnd"/>
      <w:r w:rsidR="003F3303" w:rsidRPr="00DE41F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ОТГ </w:t>
      </w:r>
      <w:r w:rsidRPr="00DE41FF">
        <w:rPr>
          <w:sz w:val="28"/>
          <w:szCs w:val="28"/>
          <w:shd w:val="clear" w:color="auto" w:fill="FFFFFF"/>
        </w:rPr>
        <w:t>Луцького району</w:t>
      </w:r>
      <w:r>
        <w:rPr>
          <w:sz w:val="28"/>
          <w:szCs w:val="28"/>
          <w:shd w:val="clear" w:color="auto" w:fill="FFFFFF"/>
        </w:rPr>
        <w:t xml:space="preserve"> ще у 2017 році; </w:t>
      </w:r>
      <w:r w:rsidR="003F3303">
        <w:rPr>
          <w:sz w:val="28"/>
          <w:szCs w:val="28"/>
          <w:shd w:val="clear" w:color="auto" w:fill="FFFFFF"/>
        </w:rPr>
        <w:t xml:space="preserve"> </w:t>
      </w:r>
    </w:p>
    <w:p w14:paraId="3EC59EF8" w14:textId="3702FC28" w:rsidR="000C484C" w:rsidRDefault="000C484C" w:rsidP="003F330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Городинівській</w:t>
      </w:r>
      <w:proofErr w:type="spellEnd"/>
      <w:r>
        <w:rPr>
          <w:sz w:val="28"/>
          <w:szCs w:val="28"/>
          <w:shd w:val="clear" w:color="auto" w:fill="FFFFFF"/>
        </w:rPr>
        <w:t xml:space="preserve"> сільраді </w:t>
      </w:r>
      <w:proofErr w:type="spellStart"/>
      <w:r>
        <w:rPr>
          <w:sz w:val="28"/>
          <w:szCs w:val="28"/>
          <w:shd w:val="clear" w:color="auto" w:fill="FFFFFF"/>
        </w:rPr>
        <w:t>Рожищенського</w:t>
      </w:r>
      <w:proofErr w:type="spellEnd"/>
      <w:r>
        <w:rPr>
          <w:sz w:val="28"/>
          <w:szCs w:val="28"/>
          <w:shd w:val="clear" w:color="auto" w:fill="FFFFFF"/>
        </w:rPr>
        <w:t xml:space="preserve"> і </w:t>
      </w:r>
      <w:proofErr w:type="spellStart"/>
      <w:r>
        <w:rPr>
          <w:sz w:val="28"/>
          <w:szCs w:val="28"/>
          <w:shd w:val="clear" w:color="auto" w:fill="FFFFFF"/>
        </w:rPr>
        <w:t>Скірченській</w:t>
      </w:r>
      <w:proofErr w:type="spellEnd"/>
      <w:r>
        <w:rPr>
          <w:sz w:val="28"/>
          <w:szCs w:val="28"/>
          <w:shd w:val="clear" w:color="auto" w:fill="FFFFFF"/>
        </w:rPr>
        <w:t xml:space="preserve"> сільраді </w:t>
      </w:r>
      <w:proofErr w:type="spellStart"/>
      <w:r>
        <w:rPr>
          <w:sz w:val="28"/>
          <w:szCs w:val="28"/>
          <w:shd w:val="clear" w:color="auto" w:fill="FFFFFF"/>
        </w:rPr>
        <w:t>Горохівського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районів, що приєдналися до</w:t>
      </w:r>
      <w:r w:rsidRPr="00DE41FF"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Торчинської</w:t>
      </w:r>
      <w:proofErr w:type="spellEnd"/>
      <w:r w:rsidRPr="00DE41FF">
        <w:rPr>
          <w:sz w:val="28"/>
          <w:szCs w:val="28"/>
          <w:shd w:val="clear" w:color="auto" w:fill="FFFFFF"/>
        </w:rPr>
        <w:t xml:space="preserve"> ОТГ</w:t>
      </w:r>
      <w:r w:rsidR="00CC4981">
        <w:rPr>
          <w:sz w:val="28"/>
          <w:szCs w:val="28"/>
          <w:shd w:val="clear" w:color="auto" w:fill="FFFFFF"/>
        </w:rPr>
        <w:t xml:space="preserve"> Луцького району</w:t>
      </w:r>
      <w:r>
        <w:rPr>
          <w:sz w:val="28"/>
          <w:szCs w:val="28"/>
          <w:shd w:val="clear" w:color="auto" w:fill="FFFFFF"/>
        </w:rPr>
        <w:t>;</w:t>
      </w:r>
      <w:r w:rsidRPr="00DE41FF">
        <w:rPr>
          <w:sz w:val="28"/>
          <w:szCs w:val="28"/>
          <w:shd w:val="clear" w:color="auto" w:fill="FFFFFF"/>
        </w:rPr>
        <w:t xml:space="preserve"> </w:t>
      </w:r>
    </w:p>
    <w:p w14:paraId="2577357F" w14:textId="77777777" w:rsidR="00CC4981" w:rsidRDefault="003F3303" w:rsidP="003F330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lastRenderedPageBreak/>
        <w:t>Новочервищанській</w:t>
      </w:r>
      <w:proofErr w:type="spellEnd"/>
      <w:r>
        <w:rPr>
          <w:sz w:val="28"/>
          <w:szCs w:val="28"/>
          <w:shd w:val="clear" w:color="auto" w:fill="FFFFFF"/>
        </w:rPr>
        <w:t xml:space="preserve"> і </w:t>
      </w:r>
      <w:proofErr w:type="spellStart"/>
      <w:r>
        <w:rPr>
          <w:sz w:val="28"/>
          <w:szCs w:val="28"/>
          <w:shd w:val="clear" w:color="auto" w:fill="FFFFFF"/>
        </w:rPr>
        <w:t>Тоболівській</w:t>
      </w:r>
      <w:proofErr w:type="spellEnd"/>
      <w:r>
        <w:rPr>
          <w:sz w:val="28"/>
          <w:szCs w:val="28"/>
          <w:shd w:val="clear" w:color="auto" w:fill="FFFFFF"/>
        </w:rPr>
        <w:t xml:space="preserve"> сільрадах </w:t>
      </w:r>
      <w:proofErr w:type="spellStart"/>
      <w:r>
        <w:rPr>
          <w:sz w:val="28"/>
          <w:szCs w:val="28"/>
          <w:shd w:val="clear" w:color="auto" w:fill="FFFFFF"/>
        </w:rPr>
        <w:t>Камінь-Каширського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району, що приєдналися до </w:t>
      </w:r>
      <w:proofErr w:type="spellStart"/>
      <w:r>
        <w:rPr>
          <w:sz w:val="28"/>
          <w:szCs w:val="28"/>
          <w:shd w:val="clear" w:color="auto" w:fill="FFFFFF"/>
        </w:rPr>
        <w:t>Прилісненської</w:t>
      </w:r>
      <w:proofErr w:type="spellEnd"/>
      <w:r>
        <w:rPr>
          <w:sz w:val="28"/>
          <w:szCs w:val="28"/>
          <w:shd w:val="clear" w:color="auto" w:fill="FFFFFF"/>
        </w:rPr>
        <w:t xml:space="preserve"> ОТГ </w:t>
      </w:r>
      <w:proofErr w:type="spellStart"/>
      <w:r>
        <w:rPr>
          <w:sz w:val="28"/>
          <w:szCs w:val="28"/>
          <w:shd w:val="clear" w:color="auto" w:fill="FFFFFF"/>
        </w:rPr>
        <w:t>Маневицького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району</w:t>
      </w:r>
      <w:r w:rsidR="000C484C">
        <w:rPr>
          <w:sz w:val="28"/>
          <w:szCs w:val="28"/>
          <w:shd w:val="clear" w:color="auto" w:fill="FFFFFF"/>
        </w:rPr>
        <w:t>;</w:t>
      </w:r>
      <w:r>
        <w:rPr>
          <w:sz w:val="28"/>
          <w:szCs w:val="28"/>
          <w:shd w:val="clear" w:color="auto" w:fill="FFFFFF"/>
        </w:rPr>
        <w:t xml:space="preserve"> </w:t>
      </w:r>
    </w:p>
    <w:p w14:paraId="08905AA2" w14:textId="77777777" w:rsidR="00CC4981" w:rsidRDefault="003F3303" w:rsidP="003F330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Буцинській</w:t>
      </w:r>
      <w:proofErr w:type="spellEnd"/>
      <w:r>
        <w:rPr>
          <w:sz w:val="28"/>
          <w:szCs w:val="28"/>
          <w:shd w:val="clear" w:color="auto" w:fill="FFFFFF"/>
        </w:rPr>
        <w:t xml:space="preserve"> і </w:t>
      </w:r>
      <w:proofErr w:type="spellStart"/>
      <w:r>
        <w:rPr>
          <w:sz w:val="28"/>
          <w:szCs w:val="28"/>
          <w:shd w:val="clear" w:color="auto" w:fill="FFFFFF"/>
        </w:rPr>
        <w:t>Секунській</w:t>
      </w:r>
      <w:proofErr w:type="spellEnd"/>
      <w:r>
        <w:rPr>
          <w:sz w:val="28"/>
          <w:szCs w:val="28"/>
          <w:shd w:val="clear" w:color="auto" w:fill="FFFFFF"/>
        </w:rPr>
        <w:t xml:space="preserve"> сільрадах </w:t>
      </w:r>
      <w:proofErr w:type="spellStart"/>
      <w:r>
        <w:rPr>
          <w:sz w:val="28"/>
          <w:szCs w:val="28"/>
          <w:shd w:val="clear" w:color="auto" w:fill="FFFFFF"/>
        </w:rPr>
        <w:t>Старовижівського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району</w:t>
      </w:r>
      <w:r w:rsidR="000C484C">
        <w:rPr>
          <w:sz w:val="28"/>
          <w:szCs w:val="28"/>
          <w:shd w:val="clear" w:color="auto" w:fill="FFFFFF"/>
        </w:rPr>
        <w:t>, що приєдналися</w:t>
      </w:r>
      <w:r>
        <w:rPr>
          <w:sz w:val="28"/>
          <w:szCs w:val="28"/>
          <w:shd w:val="clear" w:color="auto" w:fill="FFFFFF"/>
        </w:rPr>
        <w:t xml:space="preserve"> до </w:t>
      </w:r>
      <w:proofErr w:type="spellStart"/>
      <w:r>
        <w:rPr>
          <w:sz w:val="28"/>
          <w:szCs w:val="28"/>
          <w:shd w:val="clear" w:color="auto" w:fill="FFFFFF"/>
        </w:rPr>
        <w:t>Дуб</w:t>
      </w:r>
      <w:r w:rsidR="000C484C">
        <w:rPr>
          <w:sz w:val="28"/>
          <w:szCs w:val="28"/>
          <w:shd w:val="clear" w:color="auto" w:fill="FFFFFF"/>
        </w:rPr>
        <w:t>івської</w:t>
      </w:r>
      <w:proofErr w:type="spellEnd"/>
      <w:r w:rsidR="000C484C">
        <w:rPr>
          <w:sz w:val="28"/>
          <w:szCs w:val="28"/>
          <w:shd w:val="clear" w:color="auto" w:fill="FFFFFF"/>
        </w:rPr>
        <w:t xml:space="preserve"> ОТГ Ковельського району; </w:t>
      </w:r>
    </w:p>
    <w:p w14:paraId="709F6C75" w14:textId="24F1B2FF" w:rsidR="003F3303" w:rsidRDefault="000C484C" w:rsidP="003F330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28"/>
          <w:szCs w:val="28"/>
        </w:rPr>
      </w:pPr>
      <w:proofErr w:type="spellStart"/>
      <w:r>
        <w:rPr>
          <w:sz w:val="28"/>
          <w:szCs w:val="28"/>
          <w:shd w:val="clear" w:color="auto" w:fill="FFFFFF"/>
        </w:rPr>
        <w:t>Звірівській</w:t>
      </w:r>
      <w:proofErr w:type="spellEnd"/>
      <w:r>
        <w:rPr>
          <w:sz w:val="28"/>
          <w:szCs w:val="28"/>
          <w:shd w:val="clear" w:color="auto" w:fill="FFFFFF"/>
        </w:rPr>
        <w:t xml:space="preserve"> сільраді Ківерцівського району, що приєдналася до </w:t>
      </w:r>
      <w:proofErr w:type="spellStart"/>
      <w:r>
        <w:rPr>
          <w:sz w:val="28"/>
          <w:szCs w:val="28"/>
          <w:shd w:val="clear" w:color="auto" w:fill="FFFFFF"/>
        </w:rPr>
        <w:t>Липинської</w:t>
      </w:r>
      <w:proofErr w:type="spellEnd"/>
      <w:r>
        <w:rPr>
          <w:sz w:val="28"/>
          <w:szCs w:val="28"/>
          <w:shd w:val="clear" w:color="auto" w:fill="FFFFFF"/>
        </w:rPr>
        <w:t xml:space="preserve"> ОТГ Луцького району.</w:t>
      </w:r>
    </w:p>
    <w:p w14:paraId="7F761C63" w14:textId="7C4B1B49" w:rsidR="002F32A1" w:rsidRPr="002F32A1" w:rsidRDefault="00CC4981" w:rsidP="002F32A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Підсумовуючи, слід зазначити, що п</w:t>
      </w:r>
      <w:r w:rsidR="002F32A1" w:rsidRPr="002F32A1">
        <w:rPr>
          <w:color w:val="auto"/>
          <w:sz w:val="28"/>
          <w:szCs w:val="28"/>
        </w:rPr>
        <w:t xml:space="preserve">ротягом 2019 року на Волині було утворено чотири ОТГ: Луцька міська, </w:t>
      </w:r>
      <w:proofErr w:type="spellStart"/>
      <w:r w:rsidR="002F32A1" w:rsidRPr="002F32A1">
        <w:rPr>
          <w:color w:val="auto"/>
          <w:sz w:val="28"/>
          <w:szCs w:val="28"/>
        </w:rPr>
        <w:t>Мар’янівська</w:t>
      </w:r>
      <w:proofErr w:type="spellEnd"/>
      <w:r w:rsidR="002F32A1" w:rsidRPr="002F32A1">
        <w:rPr>
          <w:color w:val="auto"/>
          <w:sz w:val="28"/>
          <w:szCs w:val="28"/>
        </w:rPr>
        <w:t xml:space="preserve"> селищна, </w:t>
      </w:r>
      <w:proofErr w:type="spellStart"/>
      <w:r w:rsidR="002F32A1" w:rsidRPr="002F32A1">
        <w:rPr>
          <w:color w:val="auto"/>
          <w:sz w:val="28"/>
          <w:szCs w:val="28"/>
        </w:rPr>
        <w:t>Доросинівська</w:t>
      </w:r>
      <w:proofErr w:type="spellEnd"/>
      <w:r w:rsidR="002F32A1" w:rsidRPr="002F32A1">
        <w:rPr>
          <w:color w:val="auto"/>
          <w:sz w:val="28"/>
          <w:szCs w:val="28"/>
        </w:rPr>
        <w:t xml:space="preserve"> і </w:t>
      </w:r>
      <w:proofErr w:type="spellStart"/>
      <w:r w:rsidR="002F32A1" w:rsidRPr="002F32A1">
        <w:rPr>
          <w:color w:val="auto"/>
          <w:sz w:val="28"/>
          <w:szCs w:val="28"/>
        </w:rPr>
        <w:t>Сошичненська</w:t>
      </w:r>
      <w:proofErr w:type="spellEnd"/>
      <w:r w:rsidR="002F32A1" w:rsidRPr="002F32A1">
        <w:rPr>
          <w:color w:val="auto"/>
          <w:sz w:val="28"/>
          <w:szCs w:val="28"/>
        </w:rPr>
        <w:t xml:space="preserve"> сільські. Луцька ОТГ стала першою ОТГ міста обласного значення. І це є найбільшим досягненням </w:t>
      </w:r>
      <w:proofErr w:type="spellStart"/>
      <w:r w:rsidR="002F32A1" w:rsidRPr="002F32A1">
        <w:rPr>
          <w:color w:val="auto"/>
          <w:sz w:val="28"/>
          <w:szCs w:val="28"/>
        </w:rPr>
        <w:t>децентралізаційної</w:t>
      </w:r>
      <w:proofErr w:type="spellEnd"/>
      <w:r w:rsidR="002F32A1" w:rsidRPr="002F32A1">
        <w:rPr>
          <w:color w:val="auto"/>
          <w:sz w:val="28"/>
          <w:szCs w:val="28"/>
        </w:rPr>
        <w:t xml:space="preserve"> реформи у звітному році, адже об’єднання міст, особливо обласних центрів, із суміжними сільськими територіями є найбільш проблемним сегментом цієї реформи. Утворено першу ОТГ у </w:t>
      </w:r>
      <w:proofErr w:type="spellStart"/>
      <w:r w:rsidR="002F32A1" w:rsidRPr="002F32A1">
        <w:rPr>
          <w:color w:val="auto"/>
          <w:sz w:val="28"/>
          <w:szCs w:val="28"/>
        </w:rPr>
        <w:t>Горохівському</w:t>
      </w:r>
      <w:proofErr w:type="spellEnd"/>
      <w:r w:rsidR="002F32A1" w:rsidRPr="002F32A1">
        <w:rPr>
          <w:color w:val="auto"/>
          <w:sz w:val="28"/>
          <w:szCs w:val="28"/>
        </w:rPr>
        <w:t xml:space="preserve"> районі – </w:t>
      </w:r>
      <w:proofErr w:type="spellStart"/>
      <w:r w:rsidR="002F32A1" w:rsidRPr="002F32A1">
        <w:rPr>
          <w:color w:val="auto"/>
          <w:sz w:val="28"/>
          <w:szCs w:val="28"/>
        </w:rPr>
        <w:t>Мар’янівську</w:t>
      </w:r>
      <w:proofErr w:type="spellEnd"/>
      <w:r w:rsidR="002F32A1" w:rsidRPr="002F32A1">
        <w:rPr>
          <w:color w:val="auto"/>
          <w:sz w:val="28"/>
          <w:szCs w:val="28"/>
        </w:rPr>
        <w:t>.</w:t>
      </w:r>
    </w:p>
    <w:p w14:paraId="198F98FE" w14:textId="46B9CF76" w:rsidR="003348D6" w:rsidRPr="00DE41FF" w:rsidRDefault="002F32A1" w:rsidP="003348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F32A1">
        <w:rPr>
          <w:color w:val="auto"/>
          <w:sz w:val="28"/>
          <w:szCs w:val="28"/>
        </w:rPr>
        <w:t xml:space="preserve">Таким чином, </w:t>
      </w:r>
      <w:r w:rsidR="003348D6">
        <w:rPr>
          <w:color w:val="auto"/>
          <w:sz w:val="28"/>
          <w:szCs w:val="28"/>
        </w:rPr>
        <w:t>станом на 1 січня 2020 р.</w:t>
      </w:r>
      <w:r w:rsidRPr="002F32A1">
        <w:rPr>
          <w:color w:val="auto"/>
          <w:sz w:val="28"/>
          <w:szCs w:val="28"/>
        </w:rPr>
        <w:t xml:space="preserve"> в регіоні утворено 54 ОТГ, </w:t>
      </w:r>
      <w:r w:rsidR="003348D6">
        <w:rPr>
          <w:color w:val="auto"/>
          <w:sz w:val="28"/>
          <w:szCs w:val="28"/>
        </w:rPr>
        <w:t xml:space="preserve">а </w:t>
      </w:r>
      <w:r w:rsidR="00B658B3">
        <w:rPr>
          <w:color w:val="auto"/>
          <w:sz w:val="28"/>
          <w:szCs w:val="28"/>
        </w:rPr>
        <w:t xml:space="preserve">основні показники </w:t>
      </w:r>
      <w:r w:rsidR="00B658B3">
        <w:rPr>
          <w:sz w:val="28"/>
          <w:szCs w:val="28"/>
          <w:shd w:val="clear" w:color="auto" w:fill="FFFFFF"/>
        </w:rPr>
        <w:t>перевищили</w:t>
      </w:r>
      <w:r w:rsidR="003348D6">
        <w:rPr>
          <w:sz w:val="28"/>
          <w:szCs w:val="28"/>
          <w:shd w:val="clear" w:color="auto" w:fill="FFFFFF"/>
        </w:rPr>
        <w:t xml:space="preserve"> позначку 50 %</w:t>
      </w:r>
      <w:r w:rsidR="00B658B3">
        <w:rPr>
          <w:sz w:val="28"/>
          <w:szCs w:val="28"/>
          <w:shd w:val="clear" w:color="auto" w:fill="FFFFFF"/>
        </w:rPr>
        <w:t xml:space="preserve"> (див. </w:t>
      </w:r>
      <w:r w:rsidR="003348D6" w:rsidRPr="00DE41FF">
        <w:rPr>
          <w:sz w:val="28"/>
          <w:szCs w:val="28"/>
          <w:shd w:val="clear" w:color="auto" w:fill="FFFFFF"/>
        </w:rPr>
        <w:t xml:space="preserve">табл. </w:t>
      </w:r>
      <w:r w:rsidR="003348D6">
        <w:rPr>
          <w:sz w:val="28"/>
          <w:szCs w:val="28"/>
          <w:shd w:val="clear" w:color="auto" w:fill="FFFFFF"/>
        </w:rPr>
        <w:t>1</w:t>
      </w:r>
      <w:r w:rsidR="00B658B3">
        <w:rPr>
          <w:sz w:val="28"/>
          <w:szCs w:val="28"/>
          <w:shd w:val="clear" w:color="auto" w:fill="FFFFFF"/>
        </w:rPr>
        <w:t xml:space="preserve">), що значно вище </w:t>
      </w:r>
      <w:proofErr w:type="spellStart"/>
      <w:r w:rsidR="00B658B3">
        <w:rPr>
          <w:sz w:val="28"/>
          <w:szCs w:val="28"/>
          <w:shd w:val="clear" w:color="auto" w:fill="FFFFFF"/>
        </w:rPr>
        <w:t>середньоукраїнських</w:t>
      </w:r>
      <w:proofErr w:type="spellEnd"/>
      <w:r w:rsidR="00B658B3">
        <w:rPr>
          <w:sz w:val="28"/>
          <w:szCs w:val="28"/>
          <w:shd w:val="clear" w:color="auto" w:fill="FFFFFF"/>
        </w:rPr>
        <w:t xml:space="preserve"> показників</w:t>
      </w:r>
      <w:r w:rsidR="003348D6" w:rsidRPr="00DE41FF">
        <w:rPr>
          <w:sz w:val="28"/>
          <w:szCs w:val="28"/>
          <w:shd w:val="clear" w:color="auto" w:fill="FFFFFF"/>
        </w:rPr>
        <w:t>:</w:t>
      </w:r>
    </w:p>
    <w:p w14:paraId="34ED1932" w14:textId="77777777" w:rsidR="003348D6" w:rsidRPr="00DE41FF" w:rsidRDefault="003348D6" w:rsidP="003348D6">
      <w:pPr>
        <w:pStyle w:val="a3"/>
        <w:spacing w:line="360" w:lineRule="auto"/>
        <w:ind w:left="0" w:firstLine="709"/>
        <w:jc w:val="right"/>
        <w:rPr>
          <w:i/>
          <w:sz w:val="28"/>
          <w:szCs w:val="28"/>
        </w:rPr>
      </w:pPr>
      <w:r w:rsidRPr="00DE41FF">
        <w:rPr>
          <w:color w:val="000000"/>
          <w:sz w:val="28"/>
          <w:szCs w:val="28"/>
          <w:shd w:val="clear" w:color="auto" w:fill="FFFFFF"/>
        </w:rPr>
        <w:t xml:space="preserve"> </w:t>
      </w:r>
      <w:r w:rsidRPr="00DE41FF">
        <w:rPr>
          <w:i/>
          <w:sz w:val="28"/>
          <w:szCs w:val="28"/>
        </w:rPr>
        <w:t>Таблиця</w:t>
      </w:r>
      <w:r>
        <w:rPr>
          <w:i/>
          <w:sz w:val="28"/>
          <w:szCs w:val="28"/>
        </w:rPr>
        <w:t xml:space="preserve"> 1</w:t>
      </w:r>
    </w:p>
    <w:p w14:paraId="1C46D347" w14:textId="3465A3A7" w:rsidR="003348D6" w:rsidRPr="00B658B3" w:rsidRDefault="003348D6" w:rsidP="003348D6">
      <w:pPr>
        <w:pStyle w:val="a3"/>
        <w:spacing w:line="360" w:lineRule="auto"/>
        <w:ind w:left="0" w:firstLine="709"/>
        <w:jc w:val="center"/>
        <w:rPr>
          <w:b/>
          <w:sz w:val="28"/>
          <w:szCs w:val="28"/>
          <w:lang w:val="ru-RU"/>
        </w:rPr>
      </w:pPr>
      <w:r w:rsidRPr="00DE41FF">
        <w:rPr>
          <w:b/>
          <w:sz w:val="28"/>
          <w:szCs w:val="28"/>
        </w:rPr>
        <w:t xml:space="preserve">ОТГ </w:t>
      </w:r>
      <w:r>
        <w:rPr>
          <w:b/>
          <w:sz w:val="28"/>
          <w:szCs w:val="28"/>
        </w:rPr>
        <w:t>Волинської області (станом на 01.01.2020</w:t>
      </w:r>
      <w:r w:rsidRPr="00DE41FF">
        <w:rPr>
          <w:b/>
          <w:sz w:val="28"/>
          <w:szCs w:val="28"/>
        </w:rPr>
        <w:t xml:space="preserve"> р.)</w:t>
      </w:r>
      <w:r w:rsidR="00150235" w:rsidRPr="00B658B3">
        <w:rPr>
          <w:b/>
          <w:sz w:val="28"/>
          <w:szCs w:val="28"/>
          <w:lang w:val="ru-RU"/>
        </w:rPr>
        <w:t xml:space="preserve"> </w:t>
      </w:r>
      <w:r w:rsidR="00150235" w:rsidRPr="00B658B3">
        <w:rPr>
          <w:sz w:val="28"/>
          <w:szCs w:val="28"/>
          <w:lang w:val="ru-RU"/>
        </w:rPr>
        <w:t>[</w:t>
      </w:r>
      <w:r w:rsidR="00F07C58" w:rsidRPr="00B658B3">
        <w:rPr>
          <w:sz w:val="28"/>
          <w:szCs w:val="28"/>
          <w:lang w:val="ru-RU"/>
        </w:rPr>
        <w:t>1</w:t>
      </w:r>
      <w:r w:rsidR="00150235" w:rsidRPr="00B658B3">
        <w:rPr>
          <w:sz w:val="28"/>
          <w:szCs w:val="28"/>
          <w:lang w:val="ru-RU"/>
        </w:rPr>
        <w:t>]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673"/>
        <w:gridCol w:w="1588"/>
        <w:gridCol w:w="1559"/>
        <w:gridCol w:w="1559"/>
        <w:gridCol w:w="1985"/>
        <w:gridCol w:w="1285"/>
      </w:tblGrid>
      <w:tr w:rsidR="003348D6" w:rsidRPr="00DE41FF" w14:paraId="125FACCD" w14:textId="77777777" w:rsidTr="00585A72">
        <w:trPr>
          <w:trHeight w:val="1360"/>
        </w:trPr>
        <w:tc>
          <w:tcPr>
            <w:tcW w:w="1673" w:type="dxa"/>
          </w:tcPr>
          <w:p w14:paraId="642408FB" w14:textId="439AED8E" w:rsidR="00585A72" w:rsidRPr="00DE41FF" w:rsidRDefault="003348D6" w:rsidP="00585A7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41FF">
              <w:rPr>
                <w:sz w:val="28"/>
                <w:szCs w:val="28"/>
              </w:rPr>
              <w:t>Кількість ОМС, що об’єдналися в ОТГ</w:t>
            </w:r>
          </w:p>
        </w:tc>
        <w:tc>
          <w:tcPr>
            <w:tcW w:w="1588" w:type="dxa"/>
          </w:tcPr>
          <w:p w14:paraId="55797C3E" w14:textId="77777777" w:rsidR="003348D6" w:rsidRPr="00DE41FF" w:rsidRDefault="003348D6" w:rsidP="002B506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41FF">
              <w:rPr>
                <w:sz w:val="28"/>
                <w:szCs w:val="28"/>
              </w:rPr>
              <w:t>% від усіх ОМС області</w:t>
            </w:r>
          </w:p>
        </w:tc>
        <w:tc>
          <w:tcPr>
            <w:tcW w:w="1559" w:type="dxa"/>
          </w:tcPr>
          <w:p w14:paraId="30A0486A" w14:textId="77777777" w:rsidR="003348D6" w:rsidRPr="00DE41FF" w:rsidRDefault="003348D6" w:rsidP="002B506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41FF">
              <w:rPr>
                <w:sz w:val="28"/>
                <w:szCs w:val="28"/>
              </w:rPr>
              <w:t>Кількість населення ОТГ</w:t>
            </w:r>
          </w:p>
        </w:tc>
        <w:tc>
          <w:tcPr>
            <w:tcW w:w="1559" w:type="dxa"/>
          </w:tcPr>
          <w:p w14:paraId="73FCF5CB" w14:textId="299842D2" w:rsidR="003348D6" w:rsidRPr="00585A72" w:rsidRDefault="003348D6" w:rsidP="00585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1FF">
              <w:rPr>
                <w:rFonts w:ascii="Times New Roman" w:hAnsi="Times New Roman" w:cs="Times New Roman"/>
                <w:sz w:val="28"/>
                <w:szCs w:val="28"/>
              </w:rPr>
              <w:t>% від усього населення області</w:t>
            </w:r>
          </w:p>
        </w:tc>
        <w:tc>
          <w:tcPr>
            <w:tcW w:w="1985" w:type="dxa"/>
          </w:tcPr>
          <w:p w14:paraId="4A6E6681" w14:textId="77777777" w:rsidR="003348D6" w:rsidRPr="00DE41FF" w:rsidRDefault="003348D6" w:rsidP="002B506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DE41FF">
              <w:rPr>
                <w:sz w:val="28"/>
                <w:szCs w:val="28"/>
              </w:rPr>
              <w:t>Покриття площі області ОТГ (км кв.)</w:t>
            </w:r>
          </w:p>
        </w:tc>
        <w:tc>
          <w:tcPr>
            <w:tcW w:w="1285" w:type="dxa"/>
          </w:tcPr>
          <w:p w14:paraId="085F4326" w14:textId="77777777" w:rsidR="003348D6" w:rsidRPr="00DE41FF" w:rsidRDefault="003348D6" w:rsidP="002B5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1FF">
              <w:rPr>
                <w:rFonts w:ascii="Times New Roman" w:hAnsi="Times New Roman" w:cs="Times New Roman"/>
                <w:sz w:val="28"/>
                <w:szCs w:val="28"/>
              </w:rPr>
              <w:t>% від площі області</w:t>
            </w:r>
          </w:p>
          <w:p w14:paraId="499FCBF1" w14:textId="77777777" w:rsidR="003348D6" w:rsidRPr="00DE41FF" w:rsidRDefault="003348D6" w:rsidP="002B506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150235" w:rsidRPr="00DE41FF" w14:paraId="19DD60D3" w14:textId="77777777" w:rsidTr="002B5063">
        <w:tc>
          <w:tcPr>
            <w:tcW w:w="1673" w:type="dxa"/>
          </w:tcPr>
          <w:p w14:paraId="7B74FC8D" w14:textId="036FE514" w:rsidR="00150235" w:rsidRPr="00DE41FF" w:rsidRDefault="00150235" w:rsidP="0015023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1588" w:type="dxa"/>
          </w:tcPr>
          <w:p w14:paraId="5209A362" w14:textId="37B6BD90" w:rsidR="00150235" w:rsidRPr="00DE41FF" w:rsidRDefault="00150235" w:rsidP="00150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57,03</w:t>
            </w:r>
          </w:p>
        </w:tc>
        <w:tc>
          <w:tcPr>
            <w:tcW w:w="1559" w:type="dxa"/>
          </w:tcPr>
          <w:p w14:paraId="56CDD1AC" w14:textId="05F5007A" w:rsidR="00150235" w:rsidRPr="00150235" w:rsidRDefault="00150235" w:rsidP="00150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502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604 561</w:t>
            </w:r>
          </w:p>
        </w:tc>
        <w:tc>
          <w:tcPr>
            <w:tcW w:w="1559" w:type="dxa"/>
          </w:tcPr>
          <w:p w14:paraId="30F1A2FB" w14:textId="1A932F3C" w:rsidR="00150235" w:rsidRPr="00150235" w:rsidRDefault="00150235" w:rsidP="00150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1502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15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502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985" w:type="dxa"/>
          </w:tcPr>
          <w:p w14:paraId="41063573" w14:textId="461399FA" w:rsidR="00150235" w:rsidRPr="00150235" w:rsidRDefault="00150235" w:rsidP="00150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5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11 </w:t>
            </w:r>
            <w:r w:rsidRPr="001502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802</w:t>
            </w:r>
            <w:r w:rsidRPr="0015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502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1285" w:type="dxa"/>
          </w:tcPr>
          <w:p w14:paraId="263D5472" w14:textId="17A86173" w:rsidR="00150235" w:rsidRPr="00150235" w:rsidRDefault="00150235" w:rsidP="00150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5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1502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1502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502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</w:tr>
    </w:tbl>
    <w:p w14:paraId="5CD83619" w14:textId="77777777" w:rsidR="003348D6" w:rsidRPr="00DE41FF" w:rsidRDefault="003348D6" w:rsidP="003348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2BFF04" w14:textId="0794A18A" w:rsidR="002F32A1" w:rsidRPr="002F32A1" w:rsidRDefault="002F32A1" w:rsidP="002F32A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2F32A1">
        <w:rPr>
          <w:color w:val="auto"/>
          <w:sz w:val="28"/>
          <w:szCs w:val="28"/>
        </w:rPr>
        <w:t>Як видно, більшість волинян проживають в ОТГ, отримуючи всі пе</w:t>
      </w:r>
      <w:r w:rsidR="00520014">
        <w:rPr>
          <w:color w:val="auto"/>
          <w:sz w:val="28"/>
          <w:szCs w:val="28"/>
        </w:rPr>
        <w:t xml:space="preserve">реваги і сервіси </w:t>
      </w:r>
      <w:proofErr w:type="spellStart"/>
      <w:r w:rsidR="00520014">
        <w:rPr>
          <w:color w:val="auto"/>
          <w:sz w:val="28"/>
          <w:szCs w:val="28"/>
        </w:rPr>
        <w:t>децентралізаці</w:t>
      </w:r>
      <w:r w:rsidRPr="002F32A1">
        <w:rPr>
          <w:color w:val="auto"/>
          <w:sz w:val="28"/>
          <w:szCs w:val="28"/>
        </w:rPr>
        <w:t>йної</w:t>
      </w:r>
      <w:proofErr w:type="spellEnd"/>
      <w:r w:rsidRPr="002F32A1">
        <w:rPr>
          <w:color w:val="auto"/>
          <w:sz w:val="28"/>
          <w:szCs w:val="28"/>
        </w:rPr>
        <w:t xml:space="preserve"> реформи, однак ще значна частина мешканців області, особливо сільських жителів, не відчули жодних позитивних змін, адже й надалі проживає на територіях, які не виявили бажання до кардинальних змін. </w:t>
      </w:r>
    </w:p>
    <w:p w14:paraId="32B9A532" w14:textId="573D6BF1" w:rsidR="003348D6" w:rsidRPr="00187171" w:rsidRDefault="00CC4981" w:rsidP="0018717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  <w:shd w:val="clear" w:color="auto" w:fill="FFFFFF"/>
        </w:rPr>
        <w:t>Д</w:t>
      </w:r>
      <w:r w:rsidR="0031461E">
        <w:rPr>
          <w:sz w:val="28"/>
          <w:szCs w:val="28"/>
          <w:shd w:val="clear" w:color="auto" w:fill="FFFFFF"/>
        </w:rPr>
        <w:t xml:space="preserve">инаміка </w:t>
      </w:r>
      <w:r>
        <w:rPr>
          <w:sz w:val="28"/>
          <w:szCs w:val="28"/>
          <w:shd w:val="clear" w:color="auto" w:fill="FFFFFF"/>
        </w:rPr>
        <w:t xml:space="preserve">формування ОТГ за п’ять років </w:t>
      </w:r>
      <w:proofErr w:type="spellStart"/>
      <w:r>
        <w:rPr>
          <w:sz w:val="28"/>
          <w:szCs w:val="28"/>
          <w:shd w:val="clear" w:color="auto" w:fill="FFFFFF"/>
        </w:rPr>
        <w:t>децентралізаційної</w:t>
      </w:r>
      <w:proofErr w:type="spellEnd"/>
      <w:r>
        <w:rPr>
          <w:sz w:val="28"/>
          <w:szCs w:val="28"/>
          <w:shd w:val="clear" w:color="auto" w:fill="FFFFFF"/>
        </w:rPr>
        <w:t xml:space="preserve"> реформи </w:t>
      </w:r>
      <w:r w:rsidR="0031461E">
        <w:rPr>
          <w:sz w:val="28"/>
          <w:szCs w:val="28"/>
          <w:shd w:val="clear" w:color="auto" w:fill="FFFFFF"/>
        </w:rPr>
        <w:t>зображена на рис. 1</w:t>
      </w:r>
      <w:r w:rsidR="003348D6" w:rsidRPr="00DE41FF">
        <w:rPr>
          <w:sz w:val="28"/>
          <w:szCs w:val="28"/>
          <w:shd w:val="clear" w:color="auto" w:fill="FFFFFF"/>
        </w:rPr>
        <w:t>:</w:t>
      </w:r>
    </w:p>
    <w:p w14:paraId="386CC350" w14:textId="623EDBDB" w:rsidR="003348D6" w:rsidRPr="00585A72" w:rsidRDefault="00165768" w:rsidP="00585A7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E41FF">
        <w:rPr>
          <w:rFonts w:ascii="Times New Roman" w:hAnsi="Times New Roman" w:cs="Times New Roman"/>
          <w:b/>
          <w:bCs/>
          <w:noProof/>
          <w:sz w:val="28"/>
          <w:szCs w:val="28"/>
          <w:bdr w:val="none" w:sz="0" w:space="0" w:color="auto" w:frame="1"/>
        </w:rPr>
        <w:lastRenderedPageBreak/>
        <w:drawing>
          <wp:anchor distT="0" distB="0" distL="114300" distR="114300" simplePos="0" relativeHeight="251658240" behindDoc="1" locked="0" layoutInCell="1" allowOverlap="1" wp14:anchorId="7985B21C" wp14:editId="4AE17B67">
            <wp:simplePos x="0" y="0"/>
            <wp:positionH relativeFrom="column">
              <wp:posOffset>448310</wp:posOffset>
            </wp:positionH>
            <wp:positionV relativeFrom="paragraph">
              <wp:posOffset>-172085</wp:posOffset>
            </wp:positionV>
            <wp:extent cx="5740400" cy="3164205"/>
            <wp:effectExtent l="0" t="0" r="12700" b="17145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7FE" w:rsidRPr="00DE41FF">
        <w:rPr>
          <w:rFonts w:ascii="Times New Roman" w:hAnsi="Times New Roman" w:cs="Times New Roman"/>
          <w:b/>
          <w:bCs/>
          <w:noProof/>
          <w:sz w:val="28"/>
          <w:szCs w:val="28"/>
          <w:bdr w:val="none" w:sz="0" w:space="0" w:color="auto" w:frame="1"/>
        </w:rPr>
        <w:drawing>
          <wp:inline distT="0" distB="0" distL="0" distR="0" wp14:anchorId="7BEF2E22" wp14:editId="055E7287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31461E" w:rsidRPr="00585A72">
        <w:rPr>
          <w:rFonts w:ascii="Times New Roman" w:hAnsi="Times New Roman" w:cs="Times New Roman"/>
          <w:sz w:val="28"/>
          <w:szCs w:val="28"/>
        </w:rPr>
        <w:t>Рис. 1</w:t>
      </w:r>
      <w:r w:rsidR="003348D6" w:rsidRPr="00585A72">
        <w:rPr>
          <w:rFonts w:ascii="Times New Roman" w:hAnsi="Times New Roman" w:cs="Times New Roman"/>
          <w:sz w:val="28"/>
          <w:szCs w:val="28"/>
        </w:rPr>
        <w:t xml:space="preserve">. Динаміка формування ОТГ </w:t>
      </w:r>
      <w:r w:rsidR="0031461E" w:rsidRPr="00585A72">
        <w:rPr>
          <w:rFonts w:ascii="Times New Roman" w:hAnsi="Times New Roman" w:cs="Times New Roman"/>
          <w:sz w:val="28"/>
          <w:szCs w:val="28"/>
        </w:rPr>
        <w:t>у Волинській області у 2015-2019</w:t>
      </w:r>
      <w:r w:rsidR="003348D6" w:rsidRPr="00585A72">
        <w:rPr>
          <w:rFonts w:ascii="Times New Roman" w:hAnsi="Times New Roman" w:cs="Times New Roman"/>
          <w:sz w:val="28"/>
          <w:szCs w:val="28"/>
        </w:rPr>
        <w:t xml:space="preserve"> рр.</w:t>
      </w:r>
    </w:p>
    <w:p w14:paraId="2ACC571F" w14:textId="77777777" w:rsidR="00585A72" w:rsidRDefault="00585A72" w:rsidP="00334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8DA908" w14:textId="01BCC37A" w:rsidR="003348D6" w:rsidRDefault="007967EB" w:rsidP="00334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У рейтингу регіонів щодо формування спроможних громад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Мінрегіону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підсумками</w:t>
      </w:r>
      <w:r w:rsidR="008C096D" w:rsidRPr="008C096D">
        <w:rPr>
          <w:rFonts w:ascii="Times New Roman" w:hAnsi="Times New Roman" w:cs="Times New Roman"/>
          <w:sz w:val="28"/>
          <w:szCs w:val="28"/>
        </w:rPr>
        <w:t xml:space="preserve"> 2019 року Волинська область залишається серед лідерів децентралізації в Україні, займаючи шосте місце серед регіонів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7C58">
        <w:rPr>
          <w:rFonts w:ascii="Times New Roman" w:hAnsi="Times New Roman" w:cs="Times New Roman"/>
          <w:sz w:val="28"/>
          <w:szCs w:val="28"/>
        </w:rPr>
        <w:t>[</w:t>
      </w:r>
      <w:r w:rsidR="00585A72">
        <w:rPr>
          <w:rFonts w:ascii="Times New Roman" w:hAnsi="Times New Roman" w:cs="Times New Roman"/>
          <w:sz w:val="28"/>
          <w:szCs w:val="28"/>
        </w:rPr>
        <w:t>3</w:t>
      </w:r>
      <w:r w:rsidRPr="007967EB">
        <w:rPr>
          <w:rFonts w:ascii="Times New Roman" w:hAnsi="Times New Roman" w:cs="Times New Roman"/>
          <w:sz w:val="28"/>
          <w:szCs w:val="28"/>
        </w:rPr>
        <w:t>]</w:t>
      </w:r>
      <w:r w:rsidR="008C096D" w:rsidRPr="008C096D">
        <w:rPr>
          <w:rFonts w:ascii="Times New Roman" w:hAnsi="Times New Roman" w:cs="Times New Roman"/>
          <w:sz w:val="28"/>
          <w:szCs w:val="28"/>
        </w:rPr>
        <w:t>. Вона з оптимізмом готується до завершального етапу реформування місцевого самоврядування та територіальної організації влади у 2020 році</w:t>
      </w:r>
      <w:r w:rsidR="003348D6" w:rsidRPr="008C096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E16EEB6" w14:textId="5CF65361" w:rsidR="00DE482B" w:rsidRPr="00B658B3" w:rsidRDefault="00886AA9" w:rsidP="00AB16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6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Щодо </w:t>
      </w:r>
      <w:r w:rsidR="00DE482B" w:rsidRPr="00AB1610">
        <w:rPr>
          <w:rFonts w:ascii="Times New Roman" w:hAnsi="Times New Roman" w:cs="Times New Roman"/>
          <w:sz w:val="28"/>
          <w:szCs w:val="28"/>
        </w:rPr>
        <w:t xml:space="preserve">підсумків виконання місцевих бюджетів за 2019 р. на підставі даних Міністерства фінансів України, Державної казначейської служби України, Державної статистичної служби України, сайту https://openbudget.gov.ua, експертами Програми «U-LEAD з Європою» та </w:t>
      </w:r>
      <w:r w:rsidR="00DE482B" w:rsidRPr="00B658B3">
        <w:rPr>
          <w:rFonts w:ascii="Times New Roman" w:hAnsi="Times New Roman" w:cs="Times New Roman"/>
          <w:sz w:val="28"/>
          <w:szCs w:val="28"/>
        </w:rPr>
        <w:t xml:space="preserve">проекту SKL </w:t>
      </w:r>
      <w:proofErr w:type="spellStart"/>
      <w:r w:rsidR="00DE482B" w:rsidRPr="00B658B3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="00DE482B" w:rsidRPr="00B658B3">
        <w:rPr>
          <w:rFonts w:ascii="Times New Roman" w:hAnsi="Times New Roman" w:cs="Times New Roman"/>
          <w:sz w:val="28"/>
          <w:szCs w:val="28"/>
        </w:rPr>
        <w:t xml:space="preserve"> підготовлений рейтинг </w:t>
      </w:r>
      <w:r w:rsidR="00DE482B" w:rsidRPr="00B658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фінансової (бюджетної) діяльності </w:t>
      </w:r>
      <w:r w:rsidR="00DE482B" w:rsidRPr="00B658B3">
        <w:rPr>
          <w:rFonts w:ascii="Times New Roman" w:hAnsi="Times New Roman" w:cs="Times New Roman"/>
          <w:sz w:val="28"/>
          <w:szCs w:val="28"/>
        </w:rPr>
        <w:t xml:space="preserve">усіх діючих 806 ОТГ України. </w:t>
      </w:r>
      <w:r w:rsidR="00AB1610" w:rsidRPr="00B658B3">
        <w:rPr>
          <w:rFonts w:ascii="Times New Roman" w:hAnsi="Times New Roman" w:cs="Times New Roman"/>
          <w:sz w:val="28"/>
          <w:szCs w:val="28"/>
        </w:rPr>
        <w:t xml:space="preserve">Зазначене </w:t>
      </w:r>
      <w:proofErr w:type="spellStart"/>
      <w:r w:rsidR="00AB1610" w:rsidRPr="00B658B3">
        <w:rPr>
          <w:rFonts w:ascii="Times New Roman" w:hAnsi="Times New Roman" w:cs="Times New Roman"/>
          <w:sz w:val="28"/>
          <w:szCs w:val="28"/>
        </w:rPr>
        <w:t>ре</w:t>
      </w:r>
      <w:r w:rsidR="00DE482B" w:rsidRPr="00B658B3">
        <w:rPr>
          <w:rFonts w:ascii="Times New Roman" w:hAnsi="Times New Roman" w:cs="Times New Roman"/>
          <w:sz w:val="28"/>
          <w:szCs w:val="28"/>
        </w:rPr>
        <w:t>йти</w:t>
      </w:r>
      <w:r w:rsidR="00AB1610" w:rsidRPr="00B658B3">
        <w:rPr>
          <w:rFonts w:ascii="Times New Roman" w:hAnsi="Times New Roman" w:cs="Times New Roman"/>
          <w:sz w:val="28"/>
          <w:szCs w:val="28"/>
        </w:rPr>
        <w:t>нгування</w:t>
      </w:r>
      <w:proofErr w:type="spellEnd"/>
      <w:r w:rsidR="00AB1610" w:rsidRPr="00B658B3">
        <w:rPr>
          <w:rFonts w:ascii="Times New Roman" w:hAnsi="Times New Roman" w:cs="Times New Roman"/>
          <w:sz w:val="28"/>
          <w:szCs w:val="28"/>
        </w:rPr>
        <w:t xml:space="preserve"> </w:t>
      </w:r>
      <w:r w:rsidR="00DE482B" w:rsidRPr="00B658B3">
        <w:rPr>
          <w:rFonts w:ascii="Times New Roman" w:hAnsi="Times New Roman" w:cs="Times New Roman"/>
          <w:bCs/>
          <w:sz w:val="28"/>
          <w:szCs w:val="28"/>
        </w:rPr>
        <w:t>проведено за вісьмома індикаторами:</w:t>
      </w:r>
    </w:p>
    <w:p w14:paraId="00D0BB0D" w14:textId="3693A4F2" w:rsidR="00DE482B" w:rsidRPr="00B658B3" w:rsidRDefault="00B658B3" w:rsidP="00520014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Доходи загального фонду на одного</w:t>
      </w:r>
      <w:r w:rsidR="00DE482B" w:rsidRPr="00B658B3">
        <w:rPr>
          <w:rFonts w:ascii="Times New Roman" w:hAnsi="Times New Roman" w:cs="Times New Roman"/>
          <w:sz w:val="28"/>
          <w:szCs w:val="28"/>
        </w:rPr>
        <w:t xml:space="preserve"> мешканця (співвідношення обсягу надходжень доходів загального фонду без трансфертів до кільк</w:t>
      </w:r>
      <w:r w:rsidR="00B81D12" w:rsidRPr="00B658B3">
        <w:rPr>
          <w:rFonts w:ascii="Times New Roman" w:hAnsi="Times New Roman" w:cs="Times New Roman"/>
          <w:sz w:val="28"/>
          <w:szCs w:val="28"/>
        </w:rPr>
        <w:t>ості мешканців відповідної ОТГ). Ці д</w:t>
      </w:r>
      <w:r w:rsidR="00B81D12" w:rsidRPr="00B658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оходи </w:t>
      </w:r>
      <w:r w:rsidR="00B81D12" w:rsidRPr="00B658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розраховано як співвідношення обсягу надходжень доходів загального фонду без урахування трансфертів до кількості мешканців відповідної ОТГ. Тобто, у розрахунок включено лише доходи загального фонду, які мобілізуються до бюджету на відповідній території. Цей </w:t>
      </w:r>
      <w:r w:rsidR="00B81D12" w:rsidRPr="00B658B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показник характеризує фінансовий потенціал ОТГ, спроможність забезпечувати громаду за рахунок ресурсів, які генеруються на її території.</w:t>
      </w:r>
    </w:p>
    <w:p w14:paraId="62A489A8" w14:textId="2A3EDF63" w:rsidR="00DE482B" w:rsidRPr="00B658B3" w:rsidRDefault="00DE482B" w:rsidP="00520014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B3">
        <w:rPr>
          <w:rFonts w:ascii="Times New Roman" w:hAnsi="Times New Roman" w:cs="Times New Roman"/>
          <w:sz w:val="28"/>
          <w:szCs w:val="28"/>
        </w:rPr>
        <w:t xml:space="preserve">Видатки загального фонду </w:t>
      </w:r>
      <w:r w:rsidR="00B658B3">
        <w:rPr>
          <w:rFonts w:ascii="Times New Roman" w:hAnsi="Times New Roman" w:cs="Times New Roman"/>
          <w:sz w:val="28"/>
          <w:szCs w:val="28"/>
        </w:rPr>
        <w:t>на одного</w:t>
      </w:r>
      <w:r w:rsidRPr="00B658B3">
        <w:rPr>
          <w:rFonts w:ascii="Times New Roman" w:hAnsi="Times New Roman" w:cs="Times New Roman"/>
          <w:sz w:val="28"/>
          <w:szCs w:val="28"/>
        </w:rPr>
        <w:t xml:space="preserve"> мешканця (співвідношення обсягу видатків загального фонду до кількості мешканців відповідної ОТГ);</w:t>
      </w:r>
      <w:r w:rsidR="00B81D12" w:rsidRPr="00B658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41EB1D" w14:textId="7A80D5E6" w:rsidR="00DE482B" w:rsidRPr="00B658B3" w:rsidRDefault="00DE482B" w:rsidP="00520014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B3">
        <w:rPr>
          <w:rFonts w:ascii="Times New Roman" w:hAnsi="Times New Roman" w:cs="Times New Roman"/>
          <w:sz w:val="28"/>
          <w:szCs w:val="28"/>
        </w:rPr>
        <w:t xml:space="preserve">Видатки на утримання апарату управління у розрахунку на </w:t>
      </w:r>
      <w:r w:rsidR="00B658B3">
        <w:rPr>
          <w:rFonts w:ascii="Times New Roman" w:hAnsi="Times New Roman" w:cs="Times New Roman"/>
          <w:sz w:val="28"/>
          <w:szCs w:val="28"/>
        </w:rPr>
        <w:t>одного</w:t>
      </w:r>
      <w:r w:rsidR="00B658B3" w:rsidRPr="00B658B3">
        <w:rPr>
          <w:rFonts w:ascii="Times New Roman" w:hAnsi="Times New Roman" w:cs="Times New Roman"/>
          <w:sz w:val="28"/>
          <w:szCs w:val="28"/>
        </w:rPr>
        <w:t xml:space="preserve"> </w:t>
      </w:r>
      <w:r w:rsidRPr="00B658B3">
        <w:rPr>
          <w:rFonts w:ascii="Times New Roman" w:hAnsi="Times New Roman" w:cs="Times New Roman"/>
          <w:sz w:val="28"/>
          <w:szCs w:val="28"/>
        </w:rPr>
        <w:t>мешканця (співвідношення обсягу видатків на утримання апарату управління, проведених за рахунок коштів загального фонду до кількості мешканців відповідно</w:t>
      </w:r>
      <w:r w:rsidR="00AB1610" w:rsidRPr="00B658B3">
        <w:rPr>
          <w:rFonts w:ascii="Times New Roman" w:hAnsi="Times New Roman" w:cs="Times New Roman"/>
          <w:sz w:val="28"/>
          <w:szCs w:val="28"/>
        </w:rPr>
        <w:t xml:space="preserve">ї ОТГ). </w:t>
      </w:r>
      <w:r w:rsidR="00AB1610" w:rsidRPr="00B658B3">
        <w:rPr>
          <w:rFonts w:ascii="Times New Roman" w:hAnsi="Times New Roman" w:cs="Times New Roman"/>
          <w:sz w:val="28"/>
          <w:szCs w:val="28"/>
          <w:shd w:val="clear" w:color="auto" w:fill="FFFFFF"/>
        </w:rPr>
        <w:t>Тобто, показник вказує на те, якою є «вартість» одного працівника управлінського апарату ОТГ для кожного жителя громади (у річному вимірі);</w:t>
      </w:r>
    </w:p>
    <w:p w14:paraId="44E5B138" w14:textId="4E63761B" w:rsidR="00DE482B" w:rsidRPr="00B658B3" w:rsidRDefault="00DE482B" w:rsidP="00520014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B3">
        <w:rPr>
          <w:rFonts w:ascii="Times New Roman" w:hAnsi="Times New Roman" w:cs="Times New Roman"/>
          <w:sz w:val="28"/>
          <w:szCs w:val="28"/>
        </w:rPr>
        <w:t xml:space="preserve">Капітальні видатки на </w:t>
      </w:r>
      <w:r w:rsidR="00B658B3">
        <w:rPr>
          <w:rFonts w:ascii="Times New Roman" w:hAnsi="Times New Roman" w:cs="Times New Roman"/>
          <w:sz w:val="28"/>
          <w:szCs w:val="28"/>
        </w:rPr>
        <w:t>одного</w:t>
      </w:r>
      <w:r w:rsidR="00B658B3" w:rsidRPr="00B658B3">
        <w:rPr>
          <w:rFonts w:ascii="Times New Roman" w:hAnsi="Times New Roman" w:cs="Times New Roman"/>
          <w:sz w:val="28"/>
          <w:szCs w:val="28"/>
        </w:rPr>
        <w:t xml:space="preserve"> </w:t>
      </w:r>
      <w:r w:rsidRPr="00B658B3">
        <w:rPr>
          <w:rFonts w:ascii="Times New Roman" w:hAnsi="Times New Roman" w:cs="Times New Roman"/>
          <w:sz w:val="28"/>
          <w:szCs w:val="28"/>
        </w:rPr>
        <w:t>мешканця (співвідношення обсягу капітальних видатків бюджету громади до кількості мешканців відповідної ОТГ);</w:t>
      </w:r>
    </w:p>
    <w:p w14:paraId="41B48FE4" w14:textId="2E6BD7C1" w:rsidR="00AB1610" w:rsidRPr="00B658B3" w:rsidRDefault="00DE482B" w:rsidP="00520014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B3">
        <w:rPr>
          <w:rFonts w:ascii="Times New Roman" w:hAnsi="Times New Roman" w:cs="Times New Roman"/>
          <w:sz w:val="28"/>
          <w:szCs w:val="28"/>
        </w:rPr>
        <w:t xml:space="preserve">Рівень </w:t>
      </w:r>
      <w:proofErr w:type="spellStart"/>
      <w:r w:rsidRPr="00B658B3">
        <w:rPr>
          <w:rFonts w:ascii="Times New Roman" w:hAnsi="Times New Roman" w:cs="Times New Roman"/>
          <w:sz w:val="28"/>
          <w:szCs w:val="28"/>
        </w:rPr>
        <w:t>дотаційності</w:t>
      </w:r>
      <w:proofErr w:type="spellEnd"/>
      <w:r w:rsidRPr="00B658B3">
        <w:rPr>
          <w:rFonts w:ascii="Times New Roman" w:hAnsi="Times New Roman" w:cs="Times New Roman"/>
          <w:sz w:val="28"/>
          <w:szCs w:val="28"/>
        </w:rPr>
        <w:t xml:space="preserve"> бюджетів (співвідношення обсягу базової чи реверсної дотації до загальної суми доходів загального фонду бюджету ОТГ з дотаціями, але без урахування </w:t>
      </w:r>
      <w:r w:rsidR="00AB1610" w:rsidRPr="00B658B3">
        <w:rPr>
          <w:rFonts w:ascii="Times New Roman" w:hAnsi="Times New Roman" w:cs="Times New Roman"/>
          <w:sz w:val="28"/>
          <w:szCs w:val="28"/>
        </w:rPr>
        <w:t xml:space="preserve">субвенцій з державного бюджету). </w:t>
      </w:r>
      <w:proofErr w:type="spellStart"/>
      <w:r w:rsidR="00AB1610" w:rsidRPr="00B658B3">
        <w:rPr>
          <w:rFonts w:ascii="Times New Roman" w:eastAsia="Times New Roman" w:hAnsi="Times New Roman" w:cs="Times New Roman"/>
          <w:sz w:val="28"/>
          <w:szCs w:val="28"/>
        </w:rPr>
        <w:t>Дотаційність</w:t>
      </w:r>
      <w:proofErr w:type="spellEnd"/>
      <w:r w:rsidR="00AB1610" w:rsidRPr="00B658B3">
        <w:rPr>
          <w:rFonts w:ascii="Times New Roman" w:eastAsia="Times New Roman" w:hAnsi="Times New Roman" w:cs="Times New Roman"/>
          <w:sz w:val="28"/>
          <w:szCs w:val="28"/>
        </w:rPr>
        <w:t xml:space="preserve"> бюджетів розраховано таким чином:</w:t>
      </w:r>
    </w:p>
    <w:p w14:paraId="4700E649" w14:textId="77777777" w:rsidR="00AB1610" w:rsidRPr="00B658B3" w:rsidRDefault="00AB1610" w:rsidP="00520014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8B3">
        <w:rPr>
          <w:rFonts w:ascii="Times New Roman" w:eastAsia="Times New Roman" w:hAnsi="Times New Roman" w:cs="Times New Roman"/>
          <w:sz w:val="28"/>
          <w:szCs w:val="28"/>
        </w:rPr>
        <w:t>для ОТГ, які отримують базову дотацію – як співвідношення базової дотації до суми доходів загального фонду з урахуванням базової дотації;</w:t>
      </w:r>
    </w:p>
    <w:p w14:paraId="088F4ACD" w14:textId="63539408" w:rsidR="00AB1610" w:rsidRPr="00B658B3" w:rsidRDefault="00AB1610" w:rsidP="00520014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8B3">
        <w:rPr>
          <w:rFonts w:ascii="Times New Roman" w:eastAsia="Times New Roman" w:hAnsi="Times New Roman" w:cs="Times New Roman"/>
          <w:sz w:val="28"/>
          <w:szCs w:val="28"/>
        </w:rPr>
        <w:t>для ОТГ, які перераховують реверсну дотацію – як співвідношення реверсної дотації до суми доходів загального фонду;</w:t>
      </w:r>
    </w:p>
    <w:p w14:paraId="53ED5CC8" w14:textId="77777777" w:rsidR="00DE482B" w:rsidRPr="00B658B3" w:rsidRDefault="00DE482B" w:rsidP="00520014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B3">
        <w:rPr>
          <w:rFonts w:ascii="Times New Roman" w:hAnsi="Times New Roman" w:cs="Times New Roman"/>
          <w:sz w:val="28"/>
          <w:szCs w:val="28"/>
        </w:rPr>
        <w:t>Співвідношення видатків на утримання апарату управління із фінансовими ресурсами ОТГ (співвідношення видатків на утримання апарату управління органів місцевого самоврядування із сумою доходів загального фонду без урахування трансфертів з державного бюджету, у відсотках);</w:t>
      </w:r>
    </w:p>
    <w:p w14:paraId="540D38A6" w14:textId="595E11AF" w:rsidR="00DE482B" w:rsidRPr="00B658B3" w:rsidRDefault="00DE482B" w:rsidP="00520014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B3">
        <w:rPr>
          <w:rFonts w:ascii="Times New Roman" w:hAnsi="Times New Roman" w:cs="Times New Roman"/>
          <w:sz w:val="28"/>
          <w:szCs w:val="28"/>
        </w:rPr>
        <w:t>Питома вага заробітної плати у видатках загального фонду бюджету ОТГ (відсоткова частка проведених із загального фонду бюджету видатків на заробітну плату з нарахуваннями до обсягу видатків загального фонду бюджету без урахування трансфертів, перерахованих з</w:t>
      </w:r>
      <w:r w:rsidR="00AB1610" w:rsidRPr="00B658B3">
        <w:rPr>
          <w:rFonts w:ascii="Times New Roman" w:hAnsi="Times New Roman" w:cs="Times New Roman"/>
          <w:sz w:val="28"/>
          <w:szCs w:val="28"/>
        </w:rPr>
        <w:t xml:space="preserve"> бюджету ОТГ до інших бюджетів). </w:t>
      </w:r>
      <w:r w:rsidR="00AB1610" w:rsidRPr="00B658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Тобто, при розрахунку використано дані щодо обсягів видатків </w:t>
      </w:r>
      <w:r w:rsidR="00AB1610" w:rsidRPr="00B658B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спрямованих на заробітну плату з нарахуваннями (по всіх галузях), а також обсяг видатків загального фонду бюджету без урахування коштів, перерахованих до інших бюджетів у вигляді трансфертів, оскільки ці кошти не були спрямовані на проведення видатків на території відповідної ОТГ, а були використані на утримання установ чи фінансування заходів іншої громади (тієї, яка отримала такі кошти);</w:t>
      </w:r>
    </w:p>
    <w:p w14:paraId="1A4329E6" w14:textId="25F76E93" w:rsidR="00DE482B" w:rsidRPr="00B658B3" w:rsidRDefault="00DE482B" w:rsidP="00520014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B3">
        <w:rPr>
          <w:rFonts w:ascii="Times New Roman" w:hAnsi="Times New Roman" w:cs="Times New Roman"/>
          <w:sz w:val="28"/>
          <w:szCs w:val="28"/>
        </w:rPr>
        <w:t>Питома вага капітальних видатків у загальному обсязі видатків (частка капітальних видатків у сумарному обсязі видатків загального та спеціального фонду відповідного бюджету ОТГ).</w:t>
      </w:r>
      <w:r w:rsidR="00AB1610" w:rsidRPr="00B658B3">
        <w:rPr>
          <w:rFonts w:ascii="Times New Roman" w:hAnsi="Times New Roman" w:cs="Times New Roman"/>
          <w:sz w:val="28"/>
          <w:szCs w:val="28"/>
        </w:rPr>
        <w:t xml:space="preserve"> </w:t>
      </w:r>
      <w:r w:rsidR="00AB1610" w:rsidRPr="00B658B3">
        <w:rPr>
          <w:rFonts w:ascii="Times New Roman" w:hAnsi="Times New Roman" w:cs="Times New Roman"/>
          <w:sz w:val="28"/>
          <w:szCs w:val="28"/>
          <w:shd w:val="clear" w:color="auto" w:fill="FFFFFF"/>
        </w:rPr>
        <w:t>Обсяги капітальних видатків відображають спроможність ОТГ забезпечувати соціально-економічний розвиток, можливості для реалізації проектів інфраструктурного розвитку, створення матеріальних активів або отримання відповідного соціального ефекту.</w:t>
      </w:r>
    </w:p>
    <w:p w14:paraId="25F33611" w14:textId="1C5B95AE" w:rsidR="00DE482B" w:rsidRPr="00B658B3" w:rsidRDefault="00B658B3" w:rsidP="00B658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806 ОТГ згруповані</w:t>
      </w:r>
      <w:r w:rsidR="00DE482B" w:rsidRPr="00B658B3">
        <w:rPr>
          <w:color w:val="auto"/>
          <w:sz w:val="28"/>
          <w:szCs w:val="28"/>
        </w:rPr>
        <w:t xml:space="preserve"> за критерієм чисельності населення</w:t>
      </w:r>
      <w:r>
        <w:rPr>
          <w:color w:val="auto"/>
          <w:sz w:val="28"/>
          <w:szCs w:val="28"/>
        </w:rPr>
        <w:t xml:space="preserve"> у п’ять груп. М</w:t>
      </w:r>
      <w:r w:rsidR="00DE482B" w:rsidRPr="00B658B3">
        <w:rPr>
          <w:color w:val="auto"/>
          <w:sz w:val="28"/>
          <w:szCs w:val="28"/>
        </w:rPr>
        <w:t>іста обласного значення, у яких відбулася процедура об’єднання чи приєднання, для біль</w:t>
      </w:r>
      <w:r>
        <w:rPr>
          <w:color w:val="auto"/>
          <w:sz w:val="28"/>
          <w:szCs w:val="28"/>
        </w:rPr>
        <w:t>ш коректного порівняння виділена</w:t>
      </w:r>
      <w:r w:rsidR="00DE482B" w:rsidRPr="00B658B3">
        <w:rPr>
          <w:color w:val="auto"/>
          <w:sz w:val="28"/>
          <w:szCs w:val="28"/>
        </w:rPr>
        <w:t xml:space="preserve"> в окрему групу</w:t>
      </w:r>
      <w:r>
        <w:rPr>
          <w:color w:val="auto"/>
          <w:sz w:val="28"/>
          <w:szCs w:val="28"/>
        </w:rPr>
        <w:t xml:space="preserve"> (див. табл. 2)</w:t>
      </w:r>
      <w:r w:rsidR="00DE482B" w:rsidRPr="00B658B3">
        <w:rPr>
          <w:color w:val="auto"/>
          <w:sz w:val="28"/>
          <w:szCs w:val="28"/>
        </w:rPr>
        <w:t>: </w:t>
      </w:r>
    </w:p>
    <w:p w14:paraId="7E6DF39A" w14:textId="7D0570DD" w:rsidR="00DE482B" w:rsidRPr="00B658B3" w:rsidRDefault="00B658B3" w:rsidP="00AB161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Style w:val="a8"/>
          <w:color w:val="auto"/>
          <w:sz w:val="28"/>
          <w:szCs w:val="28"/>
        </w:rPr>
      </w:pPr>
      <w:r>
        <w:rPr>
          <w:rStyle w:val="a8"/>
          <w:color w:val="auto"/>
          <w:sz w:val="28"/>
          <w:szCs w:val="28"/>
        </w:rPr>
        <w:t>Таблиця 2</w:t>
      </w:r>
    </w:p>
    <w:p w14:paraId="38FE8788" w14:textId="069C2E49" w:rsidR="00B81D12" w:rsidRPr="00B658B3" w:rsidRDefault="00B81D12" w:rsidP="00AB161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auto"/>
          <w:sz w:val="28"/>
          <w:szCs w:val="28"/>
          <w:lang w:val="ru-RU"/>
        </w:rPr>
      </w:pPr>
      <w:r w:rsidRPr="00B658B3">
        <w:rPr>
          <w:rStyle w:val="a8"/>
          <w:b/>
          <w:i w:val="0"/>
          <w:color w:val="auto"/>
          <w:sz w:val="28"/>
          <w:szCs w:val="28"/>
        </w:rPr>
        <w:t>Групи ОТГ за кількістю населення</w:t>
      </w:r>
      <w:r w:rsidR="00FD4A1F" w:rsidRPr="00B658B3">
        <w:rPr>
          <w:rStyle w:val="a8"/>
          <w:b/>
          <w:i w:val="0"/>
          <w:color w:val="auto"/>
          <w:sz w:val="28"/>
          <w:szCs w:val="28"/>
        </w:rPr>
        <w:t xml:space="preserve"> </w:t>
      </w:r>
      <w:r w:rsidR="00585A72">
        <w:rPr>
          <w:rStyle w:val="a8"/>
          <w:b/>
          <w:i w:val="0"/>
          <w:color w:val="auto"/>
          <w:sz w:val="28"/>
          <w:szCs w:val="28"/>
          <w:lang w:val="ru-RU"/>
        </w:rPr>
        <w:t>[2</w:t>
      </w:r>
      <w:r w:rsidR="00FD4A1F" w:rsidRPr="00B658B3">
        <w:rPr>
          <w:rStyle w:val="a8"/>
          <w:b/>
          <w:i w:val="0"/>
          <w:color w:val="auto"/>
          <w:sz w:val="28"/>
          <w:szCs w:val="28"/>
          <w:lang w:val="ru-RU"/>
        </w:rPr>
        <w:t>]</w:t>
      </w:r>
    </w:p>
    <w:tbl>
      <w:tblPr>
        <w:tblW w:w="9758" w:type="dxa"/>
        <w:tblInd w:w="12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2835"/>
        <w:gridCol w:w="1418"/>
        <w:gridCol w:w="2409"/>
        <w:gridCol w:w="1820"/>
      </w:tblGrid>
      <w:tr w:rsidR="00B658B3" w:rsidRPr="00B658B3" w14:paraId="69CC020C" w14:textId="77777777" w:rsidTr="00C119DE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275B72" w14:textId="77777777" w:rsidR="00DE482B" w:rsidRPr="00B658B3" w:rsidRDefault="00DE482B" w:rsidP="00FD4A1F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8"/>
                <w:szCs w:val="28"/>
              </w:rPr>
            </w:pPr>
            <w:r w:rsidRPr="00B658B3">
              <w:rPr>
                <w:color w:val="auto"/>
                <w:sz w:val="28"/>
                <w:szCs w:val="28"/>
              </w:rPr>
              <w:t>Групи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EC120A" w14:textId="1C19F99D" w:rsidR="00DE482B" w:rsidRPr="00B658B3" w:rsidRDefault="00DE482B" w:rsidP="00FD4A1F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8"/>
                <w:szCs w:val="28"/>
              </w:rPr>
            </w:pPr>
            <w:r w:rsidRPr="00B658B3">
              <w:rPr>
                <w:color w:val="auto"/>
                <w:sz w:val="28"/>
                <w:szCs w:val="28"/>
              </w:rPr>
              <w:t>Критерії групування</w:t>
            </w:r>
            <w:r w:rsidR="00FD4A1F" w:rsidRPr="00B658B3">
              <w:rPr>
                <w:color w:val="auto"/>
                <w:sz w:val="28"/>
                <w:szCs w:val="28"/>
              </w:rPr>
              <w:t xml:space="preserve"> (кількість населення)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7CB324" w14:textId="77777777" w:rsidR="00DE482B" w:rsidRPr="00B658B3" w:rsidRDefault="00DE482B" w:rsidP="00FD4A1F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8"/>
                <w:szCs w:val="28"/>
              </w:rPr>
            </w:pPr>
            <w:r w:rsidRPr="00B658B3">
              <w:rPr>
                <w:color w:val="auto"/>
                <w:sz w:val="28"/>
                <w:szCs w:val="28"/>
              </w:rPr>
              <w:t>Кількість ОТГ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F15E0B" w14:textId="1157A342" w:rsidR="00DE482B" w:rsidRPr="00B658B3" w:rsidRDefault="00DE482B" w:rsidP="00FD4A1F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8"/>
                <w:szCs w:val="28"/>
              </w:rPr>
            </w:pPr>
            <w:r w:rsidRPr="00B658B3">
              <w:rPr>
                <w:color w:val="auto"/>
                <w:sz w:val="28"/>
                <w:szCs w:val="28"/>
              </w:rPr>
              <w:t>Загальна чи</w:t>
            </w:r>
            <w:r w:rsidR="00585A72">
              <w:rPr>
                <w:color w:val="auto"/>
                <w:sz w:val="28"/>
                <w:szCs w:val="28"/>
              </w:rPr>
              <w:t>сельність населення в групі ОТГ</w:t>
            </w:r>
            <w:r w:rsidRPr="00B658B3">
              <w:rPr>
                <w:color w:val="auto"/>
                <w:sz w:val="28"/>
                <w:szCs w:val="28"/>
              </w:rPr>
              <w:t xml:space="preserve"> </w:t>
            </w:r>
            <w:r w:rsidR="00585A72">
              <w:rPr>
                <w:color w:val="auto"/>
                <w:sz w:val="28"/>
                <w:szCs w:val="28"/>
              </w:rPr>
              <w:t>(</w:t>
            </w:r>
            <w:r w:rsidRPr="00B658B3">
              <w:rPr>
                <w:color w:val="auto"/>
                <w:sz w:val="28"/>
                <w:szCs w:val="28"/>
              </w:rPr>
              <w:t>тис. осіб</w:t>
            </w:r>
            <w:r w:rsidR="00585A72">
              <w:rPr>
                <w:color w:val="auto"/>
                <w:sz w:val="28"/>
                <w:szCs w:val="28"/>
              </w:rPr>
              <w:t>)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B1B07B" w14:textId="51FAD38B" w:rsidR="00DE482B" w:rsidRPr="00B658B3" w:rsidRDefault="00DE482B" w:rsidP="00FD4A1F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8"/>
                <w:szCs w:val="28"/>
              </w:rPr>
            </w:pPr>
            <w:r w:rsidRPr="00B658B3">
              <w:rPr>
                <w:color w:val="auto"/>
                <w:sz w:val="28"/>
                <w:szCs w:val="28"/>
              </w:rPr>
              <w:t>% від всього населення ОТГ</w:t>
            </w:r>
          </w:p>
        </w:tc>
      </w:tr>
      <w:tr w:rsidR="00B658B3" w:rsidRPr="00B658B3" w14:paraId="0C61BD0B" w14:textId="77777777" w:rsidTr="00C119DE">
        <w:trPr>
          <w:trHeight w:val="350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777C5F" w14:textId="77777777" w:rsidR="00DE482B" w:rsidRPr="00B658B3" w:rsidRDefault="00DE482B" w:rsidP="00FD4A1F">
            <w:pPr>
              <w:pStyle w:val="a4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  <w:r w:rsidRPr="00B658B3">
              <w:rPr>
                <w:b/>
                <w:bCs/>
                <w:color w:val="auto"/>
                <w:sz w:val="28"/>
                <w:szCs w:val="28"/>
              </w:rPr>
              <w:t>Група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EB2592" w14:textId="78C2A1E6" w:rsidR="00DE482B" w:rsidRPr="00B658B3" w:rsidRDefault="00FD4A1F" w:rsidP="00FD4A1F">
            <w:pPr>
              <w:pStyle w:val="a4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  <w:r w:rsidRPr="00B658B3">
              <w:rPr>
                <w:color w:val="auto"/>
                <w:sz w:val="28"/>
                <w:szCs w:val="28"/>
              </w:rPr>
              <w:t>П</w:t>
            </w:r>
            <w:r w:rsidR="00DE482B" w:rsidRPr="00B658B3">
              <w:rPr>
                <w:color w:val="auto"/>
                <w:sz w:val="28"/>
                <w:szCs w:val="28"/>
              </w:rPr>
              <w:t>онад 15 тис. осіб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0D42CE" w14:textId="77777777" w:rsidR="00DE482B" w:rsidRPr="00B658B3" w:rsidRDefault="00DE482B" w:rsidP="00FD4A1F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8"/>
                <w:szCs w:val="28"/>
              </w:rPr>
            </w:pPr>
            <w:r w:rsidRPr="00B658B3">
              <w:rPr>
                <w:color w:val="auto"/>
                <w:sz w:val="28"/>
                <w:szCs w:val="28"/>
              </w:rPr>
              <w:t>95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C8C0D6" w14:textId="77777777" w:rsidR="00DE482B" w:rsidRPr="00B658B3" w:rsidRDefault="00DE482B" w:rsidP="00FD4A1F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8"/>
                <w:szCs w:val="28"/>
              </w:rPr>
            </w:pPr>
            <w:r w:rsidRPr="00B658B3">
              <w:rPr>
                <w:color w:val="auto"/>
                <w:sz w:val="28"/>
                <w:szCs w:val="28"/>
              </w:rPr>
              <w:t>2 001,1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9AB014" w14:textId="77777777" w:rsidR="00DE482B" w:rsidRPr="00B658B3" w:rsidRDefault="00DE482B" w:rsidP="00FD4A1F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8"/>
                <w:szCs w:val="28"/>
              </w:rPr>
            </w:pPr>
            <w:r w:rsidRPr="00B658B3">
              <w:rPr>
                <w:color w:val="auto"/>
                <w:sz w:val="28"/>
                <w:szCs w:val="28"/>
              </w:rPr>
              <w:t>24,1%</w:t>
            </w:r>
          </w:p>
        </w:tc>
      </w:tr>
      <w:tr w:rsidR="00B658B3" w:rsidRPr="00B658B3" w14:paraId="5A090CC6" w14:textId="77777777" w:rsidTr="00B658B3">
        <w:trPr>
          <w:trHeight w:val="272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9E174E" w14:textId="77777777" w:rsidR="00DE482B" w:rsidRPr="00B658B3" w:rsidRDefault="00DE482B" w:rsidP="00FD4A1F">
            <w:pPr>
              <w:pStyle w:val="a4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  <w:r w:rsidRPr="00B658B3">
              <w:rPr>
                <w:b/>
                <w:bCs/>
                <w:color w:val="auto"/>
                <w:sz w:val="28"/>
                <w:szCs w:val="28"/>
              </w:rPr>
              <w:t>Група 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F0C9AC" w14:textId="1CC0DFC7" w:rsidR="00DE482B" w:rsidRPr="00B658B3" w:rsidRDefault="00FD4A1F" w:rsidP="00FD4A1F">
            <w:pPr>
              <w:pStyle w:val="a4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  <w:r w:rsidRPr="00B658B3">
              <w:rPr>
                <w:color w:val="auto"/>
                <w:sz w:val="28"/>
                <w:szCs w:val="28"/>
              </w:rPr>
              <w:t>В</w:t>
            </w:r>
            <w:r w:rsidR="00DE482B" w:rsidRPr="00B658B3">
              <w:rPr>
                <w:color w:val="auto"/>
                <w:sz w:val="28"/>
                <w:szCs w:val="28"/>
              </w:rPr>
              <w:t>ід 10 до 15 тис. осіб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75D07B" w14:textId="77777777" w:rsidR="00DE482B" w:rsidRPr="00B658B3" w:rsidRDefault="00DE482B" w:rsidP="00FD4A1F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8"/>
                <w:szCs w:val="28"/>
              </w:rPr>
            </w:pPr>
            <w:r w:rsidRPr="00B658B3">
              <w:rPr>
                <w:color w:val="auto"/>
                <w:sz w:val="28"/>
                <w:szCs w:val="28"/>
              </w:rPr>
              <w:t>128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CBE869" w14:textId="77777777" w:rsidR="00DE482B" w:rsidRPr="00B658B3" w:rsidRDefault="00DE482B" w:rsidP="00FD4A1F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8"/>
                <w:szCs w:val="28"/>
              </w:rPr>
            </w:pPr>
            <w:r w:rsidRPr="00B658B3">
              <w:rPr>
                <w:color w:val="auto"/>
                <w:sz w:val="28"/>
                <w:szCs w:val="28"/>
              </w:rPr>
              <w:t>1 561,6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9FC303" w14:textId="77777777" w:rsidR="00DE482B" w:rsidRPr="00B658B3" w:rsidRDefault="00DE482B" w:rsidP="00FD4A1F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8"/>
                <w:szCs w:val="28"/>
              </w:rPr>
            </w:pPr>
            <w:r w:rsidRPr="00B658B3">
              <w:rPr>
                <w:color w:val="auto"/>
                <w:sz w:val="28"/>
                <w:szCs w:val="28"/>
              </w:rPr>
              <w:t>18,8%</w:t>
            </w:r>
          </w:p>
        </w:tc>
      </w:tr>
      <w:tr w:rsidR="00B658B3" w:rsidRPr="00B658B3" w14:paraId="2682FAC3" w14:textId="77777777" w:rsidTr="00C119DE">
        <w:trPr>
          <w:trHeight w:val="310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3BFB19" w14:textId="77777777" w:rsidR="00DE482B" w:rsidRPr="00B658B3" w:rsidRDefault="00DE482B" w:rsidP="00FD4A1F">
            <w:pPr>
              <w:pStyle w:val="a4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  <w:r w:rsidRPr="00B658B3">
              <w:rPr>
                <w:b/>
                <w:bCs/>
                <w:color w:val="auto"/>
                <w:sz w:val="28"/>
                <w:szCs w:val="28"/>
              </w:rPr>
              <w:t>Група 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1CA887" w14:textId="6C881B26" w:rsidR="00DE482B" w:rsidRPr="00B658B3" w:rsidRDefault="00FD4A1F" w:rsidP="00FD4A1F">
            <w:pPr>
              <w:pStyle w:val="a4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  <w:r w:rsidRPr="00B658B3">
              <w:rPr>
                <w:color w:val="auto"/>
                <w:sz w:val="28"/>
                <w:szCs w:val="28"/>
              </w:rPr>
              <w:t>В</w:t>
            </w:r>
            <w:r w:rsidR="00DE482B" w:rsidRPr="00B658B3">
              <w:rPr>
                <w:color w:val="auto"/>
                <w:sz w:val="28"/>
                <w:szCs w:val="28"/>
              </w:rPr>
              <w:t>ід 5 до 10 тис. осіб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7A1099" w14:textId="77777777" w:rsidR="00DE482B" w:rsidRPr="00B658B3" w:rsidRDefault="00DE482B" w:rsidP="00FD4A1F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8"/>
                <w:szCs w:val="28"/>
              </w:rPr>
            </w:pPr>
            <w:r w:rsidRPr="00B658B3">
              <w:rPr>
                <w:color w:val="auto"/>
                <w:sz w:val="28"/>
                <w:szCs w:val="28"/>
              </w:rPr>
              <w:t>268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DB70FC" w14:textId="77777777" w:rsidR="00DE482B" w:rsidRPr="00B658B3" w:rsidRDefault="00DE482B" w:rsidP="00FD4A1F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8"/>
                <w:szCs w:val="28"/>
              </w:rPr>
            </w:pPr>
            <w:r w:rsidRPr="00B658B3">
              <w:rPr>
                <w:color w:val="auto"/>
                <w:sz w:val="28"/>
                <w:szCs w:val="28"/>
              </w:rPr>
              <w:t>1 874,9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8A3E40" w14:textId="77777777" w:rsidR="00DE482B" w:rsidRPr="00B658B3" w:rsidRDefault="00DE482B" w:rsidP="00FD4A1F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8"/>
                <w:szCs w:val="28"/>
              </w:rPr>
            </w:pPr>
            <w:r w:rsidRPr="00B658B3">
              <w:rPr>
                <w:color w:val="auto"/>
                <w:sz w:val="28"/>
                <w:szCs w:val="28"/>
              </w:rPr>
              <w:t>22,5%</w:t>
            </w:r>
          </w:p>
        </w:tc>
      </w:tr>
      <w:tr w:rsidR="00B658B3" w:rsidRPr="00B658B3" w14:paraId="194BA110" w14:textId="77777777" w:rsidTr="00C119DE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DAD8B2" w14:textId="77777777" w:rsidR="00DE482B" w:rsidRPr="00B658B3" w:rsidRDefault="00DE482B" w:rsidP="00FD4A1F">
            <w:pPr>
              <w:pStyle w:val="a4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  <w:r w:rsidRPr="00B658B3">
              <w:rPr>
                <w:b/>
                <w:bCs/>
                <w:color w:val="auto"/>
                <w:sz w:val="28"/>
                <w:szCs w:val="28"/>
              </w:rPr>
              <w:t>Група 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B7CD94" w14:textId="522596AC" w:rsidR="00DE482B" w:rsidRPr="00B658B3" w:rsidRDefault="00FD4A1F" w:rsidP="00FD4A1F">
            <w:pPr>
              <w:pStyle w:val="a4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  <w:r w:rsidRPr="00B658B3">
              <w:rPr>
                <w:color w:val="auto"/>
                <w:sz w:val="28"/>
                <w:szCs w:val="28"/>
              </w:rPr>
              <w:t>Д</w:t>
            </w:r>
            <w:r w:rsidR="00DE482B" w:rsidRPr="00B658B3">
              <w:rPr>
                <w:color w:val="auto"/>
                <w:sz w:val="28"/>
                <w:szCs w:val="28"/>
              </w:rPr>
              <w:t>о 5 тис. осіб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5660FC" w14:textId="77777777" w:rsidR="00DE482B" w:rsidRPr="00B658B3" w:rsidRDefault="00DE482B" w:rsidP="00FD4A1F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8"/>
                <w:szCs w:val="28"/>
              </w:rPr>
            </w:pPr>
            <w:r w:rsidRPr="00B658B3">
              <w:rPr>
                <w:color w:val="auto"/>
                <w:sz w:val="28"/>
                <w:szCs w:val="28"/>
              </w:rPr>
              <w:t>288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D3828F" w14:textId="1E925783" w:rsidR="00DE482B" w:rsidRPr="00B658B3" w:rsidRDefault="00DE482B" w:rsidP="00FD4A1F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8"/>
                <w:szCs w:val="28"/>
              </w:rPr>
            </w:pPr>
            <w:r w:rsidRPr="00B658B3">
              <w:rPr>
                <w:color w:val="auto"/>
                <w:sz w:val="28"/>
                <w:szCs w:val="28"/>
              </w:rPr>
              <w:t>979,1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4467B6" w14:textId="77777777" w:rsidR="00DE482B" w:rsidRPr="00B658B3" w:rsidRDefault="00DE482B" w:rsidP="00FD4A1F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8"/>
                <w:szCs w:val="28"/>
              </w:rPr>
            </w:pPr>
            <w:r w:rsidRPr="00B658B3">
              <w:rPr>
                <w:color w:val="auto"/>
                <w:sz w:val="28"/>
                <w:szCs w:val="28"/>
              </w:rPr>
              <w:t>11,8%</w:t>
            </w:r>
          </w:p>
        </w:tc>
      </w:tr>
      <w:tr w:rsidR="00B658B3" w:rsidRPr="00B658B3" w14:paraId="490653E2" w14:textId="77777777" w:rsidTr="00585A72">
        <w:trPr>
          <w:trHeight w:val="560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6EA487" w14:textId="77777777" w:rsidR="00DE482B" w:rsidRPr="00B658B3" w:rsidRDefault="00DE482B" w:rsidP="00FD4A1F">
            <w:pPr>
              <w:pStyle w:val="a4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  <w:r w:rsidRPr="00B658B3">
              <w:rPr>
                <w:b/>
                <w:bCs/>
                <w:color w:val="auto"/>
                <w:sz w:val="28"/>
                <w:szCs w:val="28"/>
              </w:rPr>
              <w:t>Група 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AA8DFD" w14:textId="316F8E2C" w:rsidR="00DE482B" w:rsidRPr="00B658B3" w:rsidRDefault="00AB1610" w:rsidP="00FD4A1F">
            <w:pPr>
              <w:pStyle w:val="a4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  <w:r w:rsidRPr="00B658B3">
              <w:rPr>
                <w:color w:val="auto"/>
                <w:sz w:val="28"/>
                <w:szCs w:val="28"/>
              </w:rPr>
              <w:t xml:space="preserve">ОТГ </w:t>
            </w:r>
            <w:r w:rsidR="00DE482B" w:rsidRPr="00B658B3">
              <w:rPr>
                <w:color w:val="auto"/>
                <w:sz w:val="28"/>
                <w:szCs w:val="28"/>
              </w:rPr>
              <w:t>міста обласного значення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15C634" w14:textId="77777777" w:rsidR="00DE482B" w:rsidRPr="00B658B3" w:rsidRDefault="00DE482B" w:rsidP="00FD4A1F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8"/>
                <w:szCs w:val="28"/>
              </w:rPr>
            </w:pPr>
            <w:r w:rsidRPr="00B658B3"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618193" w14:textId="77777777" w:rsidR="00DE482B" w:rsidRPr="00B658B3" w:rsidRDefault="00DE482B" w:rsidP="00FD4A1F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8"/>
                <w:szCs w:val="28"/>
              </w:rPr>
            </w:pPr>
            <w:r w:rsidRPr="00B658B3">
              <w:rPr>
                <w:color w:val="auto"/>
                <w:sz w:val="28"/>
                <w:szCs w:val="28"/>
              </w:rPr>
              <w:t>1 891,0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B4AAB9" w14:textId="77777777" w:rsidR="00DE482B" w:rsidRPr="00B658B3" w:rsidRDefault="00DE482B" w:rsidP="00FD4A1F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8"/>
                <w:szCs w:val="28"/>
              </w:rPr>
            </w:pPr>
            <w:r w:rsidRPr="00B658B3">
              <w:rPr>
                <w:color w:val="auto"/>
                <w:sz w:val="28"/>
                <w:szCs w:val="28"/>
              </w:rPr>
              <w:t>22,8%</w:t>
            </w:r>
          </w:p>
        </w:tc>
      </w:tr>
      <w:tr w:rsidR="00B658B3" w:rsidRPr="00B658B3" w14:paraId="19F4DFC0" w14:textId="77777777" w:rsidTr="00C119DE">
        <w:tc>
          <w:tcPr>
            <w:tcW w:w="4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CCF114" w14:textId="77777777" w:rsidR="00DE482B" w:rsidRPr="00B658B3" w:rsidRDefault="00DE482B" w:rsidP="00FD4A1F">
            <w:pPr>
              <w:pStyle w:val="a4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  <w:r w:rsidRPr="00B658B3">
              <w:rPr>
                <w:b/>
                <w:bCs/>
                <w:color w:val="auto"/>
                <w:sz w:val="28"/>
                <w:szCs w:val="28"/>
              </w:rPr>
              <w:t>Разом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4935ED" w14:textId="77777777" w:rsidR="00DE482B" w:rsidRPr="00B658B3" w:rsidRDefault="00DE482B" w:rsidP="00FD4A1F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8"/>
                <w:szCs w:val="28"/>
              </w:rPr>
            </w:pPr>
            <w:r w:rsidRPr="00B658B3">
              <w:rPr>
                <w:b/>
                <w:bCs/>
                <w:color w:val="auto"/>
                <w:sz w:val="28"/>
                <w:szCs w:val="28"/>
              </w:rPr>
              <w:t>806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A69EA4" w14:textId="77777777" w:rsidR="00DE482B" w:rsidRPr="00B658B3" w:rsidRDefault="00DE482B" w:rsidP="00FD4A1F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8"/>
                <w:szCs w:val="28"/>
              </w:rPr>
            </w:pPr>
            <w:r w:rsidRPr="00B658B3">
              <w:rPr>
                <w:b/>
                <w:bCs/>
                <w:color w:val="auto"/>
                <w:sz w:val="28"/>
                <w:szCs w:val="28"/>
              </w:rPr>
              <w:t>8 307,7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20AF60" w14:textId="77777777" w:rsidR="00DE482B" w:rsidRPr="00B658B3" w:rsidRDefault="00DE482B" w:rsidP="00FD4A1F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8"/>
                <w:szCs w:val="28"/>
              </w:rPr>
            </w:pPr>
            <w:r w:rsidRPr="00B658B3">
              <w:rPr>
                <w:b/>
                <w:bCs/>
                <w:color w:val="auto"/>
                <w:sz w:val="28"/>
                <w:szCs w:val="28"/>
              </w:rPr>
              <w:t>100,0%</w:t>
            </w:r>
          </w:p>
        </w:tc>
      </w:tr>
    </w:tbl>
    <w:p w14:paraId="494F3C40" w14:textId="56ACB62A" w:rsidR="00886AA9" w:rsidRPr="00B658B3" w:rsidRDefault="00FD4A1F" w:rsidP="00334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B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У зазначеному рейтингу щодо ОТГ Волинської області </w:t>
      </w:r>
      <w:r w:rsidR="00886AA9" w:rsidRPr="00B658B3">
        <w:rPr>
          <w:rFonts w:ascii="Times New Roman" w:hAnsi="Times New Roman" w:cs="Times New Roman"/>
          <w:sz w:val="28"/>
          <w:szCs w:val="28"/>
          <w:shd w:val="clear" w:color="auto" w:fill="FFFFFF"/>
        </w:rPr>
        <w:t>ситуація є такою.</w:t>
      </w:r>
      <w:r w:rsidR="00886AA9" w:rsidRPr="00B658B3">
        <w:rPr>
          <w:rFonts w:ascii="Times New Roman" w:hAnsi="Times New Roman" w:cs="Times New Roman"/>
          <w:sz w:val="28"/>
          <w:szCs w:val="28"/>
        </w:rPr>
        <w:t xml:space="preserve"> </w:t>
      </w:r>
      <w:r w:rsidRPr="00B658B3">
        <w:rPr>
          <w:rFonts w:ascii="Times New Roman" w:hAnsi="Times New Roman" w:cs="Times New Roman"/>
          <w:sz w:val="28"/>
          <w:szCs w:val="28"/>
        </w:rPr>
        <w:t xml:space="preserve">У групі 1 </w:t>
      </w:r>
      <w:r w:rsidR="00886AA9" w:rsidRPr="00B658B3">
        <w:rPr>
          <w:rFonts w:ascii="Times New Roman" w:hAnsi="Times New Roman" w:cs="Times New Roman"/>
          <w:sz w:val="28"/>
          <w:szCs w:val="28"/>
        </w:rPr>
        <w:t>з 95 ОТГ най</w:t>
      </w:r>
      <w:r w:rsidR="00B658B3">
        <w:rPr>
          <w:rFonts w:ascii="Times New Roman" w:hAnsi="Times New Roman" w:cs="Times New Roman"/>
          <w:sz w:val="28"/>
          <w:szCs w:val="28"/>
        </w:rPr>
        <w:t>вищі показники і 38 місце зайняла</w:t>
      </w:r>
      <w:r w:rsidR="00886AA9" w:rsidRPr="00B658B3">
        <w:rPr>
          <w:rFonts w:ascii="Times New Roman" w:hAnsi="Times New Roman" w:cs="Times New Roman"/>
          <w:sz w:val="28"/>
          <w:szCs w:val="28"/>
        </w:rPr>
        <w:t xml:space="preserve"> Ківерцівська міська ОТГ, </w:t>
      </w:r>
      <w:r w:rsidRPr="00B658B3">
        <w:rPr>
          <w:rFonts w:ascii="Times New Roman" w:hAnsi="Times New Roman" w:cs="Times New Roman"/>
          <w:sz w:val="28"/>
          <w:szCs w:val="28"/>
        </w:rPr>
        <w:t>н</w:t>
      </w:r>
      <w:r w:rsidR="00886AA9" w:rsidRPr="00B658B3">
        <w:rPr>
          <w:rFonts w:ascii="Times New Roman" w:hAnsi="Times New Roman" w:cs="Times New Roman"/>
          <w:sz w:val="28"/>
          <w:szCs w:val="28"/>
        </w:rPr>
        <w:t>а</w:t>
      </w:r>
      <w:r w:rsidRPr="00B658B3">
        <w:rPr>
          <w:rFonts w:ascii="Times New Roman" w:hAnsi="Times New Roman" w:cs="Times New Roman"/>
          <w:sz w:val="28"/>
          <w:szCs w:val="28"/>
        </w:rPr>
        <w:t>томість,</w:t>
      </w:r>
      <w:r w:rsidR="00886AA9" w:rsidRPr="00B65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AA9" w:rsidRPr="00B658B3">
        <w:rPr>
          <w:rFonts w:ascii="Times New Roman" w:hAnsi="Times New Roman" w:cs="Times New Roman"/>
          <w:sz w:val="28"/>
          <w:szCs w:val="28"/>
        </w:rPr>
        <w:t>Любомльська</w:t>
      </w:r>
      <w:proofErr w:type="spellEnd"/>
      <w:r w:rsidR="00886AA9" w:rsidRPr="00B658B3">
        <w:rPr>
          <w:rFonts w:ascii="Times New Roman" w:hAnsi="Times New Roman" w:cs="Times New Roman"/>
          <w:sz w:val="28"/>
          <w:szCs w:val="28"/>
        </w:rPr>
        <w:t xml:space="preserve"> міська ОТГ – 85, </w:t>
      </w:r>
      <w:proofErr w:type="spellStart"/>
      <w:r w:rsidR="00886AA9" w:rsidRPr="00B658B3">
        <w:rPr>
          <w:rFonts w:ascii="Times New Roman" w:hAnsi="Times New Roman" w:cs="Times New Roman"/>
          <w:sz w:val="28"/>
          <w:szCs w:val="28"/>
        </w:rPr>
        <w:t>Любешівська</w:t>
      </w:r>
      <w:proofErr w:type="spellEnd"/>
      <w:r w:rsidR="00886AA9" w:rsidRPr="00B658B3">
        <w:rPr>
          <w:rFonts w:ascii="Times New Roman" w:hAnsi="Times New Roman" w:cs="Times New Roman"/>
          <w:sz w:val="28"/>
          <w:szCs w:val="28"/>
        </w:rPr>
        <w:t xml:space="preserve"> селищна ОТГ </w:t>
      </w:r>
      <w:r w:rsidR="00B658B3">
        <w:rPr>
          <w:rFonts w:ascii="Times New Roman" w:hAnsi="Times New Roman" w:cs="Times New Roman"/>
          <w:sz w:val="28"/>
          <w:szCs w:val="28"/>
        </w:rPr>
        <w:t xml:space="preserve">– </w:t>
      </w:r>
      <w:r w:rsidR="00886AA9" w:rsidRPr="00B658B3">
        <w:rPr>
          <w:rFonts w:ascii="Times New Roman" w:hAnsi="Times New Roman" w:cs="Times New Roman"/>
          <w:sz w:val="28"/>
          <w:szCs w:val="28"/>
        </w:rPr>
        <w:t>87 місця.</w:t>
      </w:r>
    </w:p>
    <w:p w14:paraId="389A70FF" w14:textId="3AD55814" w:rsidR="003348D6" w:rsidRPr="00B658B3" w:rsidRDefault="00886AA9" w:rsidP="00886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B3">
        <w:rPr>
          <w:rFonts w:ascii="Times New Roman" w:hAnsi="Times New Roman" w:cs="Times New Roman"/>
          <w:sz w:val="28"/>
          <w:szCs w:val="28"/>
        </w:rPr>
        <w:t xml:space="preserve">У групі 2 </w:t>
      </w:r>
      <w:r w:rsidRPr="00B658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серед </w:t>
      </w:r>
      <w:r w:rsidRPr="00B658B3">
        <w:rPr>
          <w:rFonts w:ascii="Times New Roman" w:hAnsi="Times New Roman" w:cs="Times New Roman"/>
          <w:sz w:val="28"/>
          <w:szCs w:val="28"/>
        </w:rPr>
        <w:t>ОТГ Волинської області розташувалися так</w:t>
      </w:r>
      <w:r w:rsidR="00B658B3">
        <w:rPr>
          <w:rFonts w:ascii="Times New Roman" w:hAnsi="Times New Roman" w:cs="Times New Roman"/>
          <w:sz w:val="28"/>
          <w:szCs w:val="28"/>
        </w:rPr>
        <w:t>им чином</w:t>
      </w:r>
      <w:r w:rsidRPr="00B658B3">
        <w:rPr>
          <w:rFonts w:ascii="Times New Roman" w:hAnsi="Times New Roman" w:cs="Times New Roman"/>
          <w:sz w:val="28"/>
          <w:szCs w:val="28"/>
        </w:rPr>
        <w:t xml:space="preserve">: 82 місце – </w:t>
      </w:r>
      <w:proofErr w:type="spellStart"/>
      <w:r w:rsidRPr="00B658B3">
        <w:rPr>
          <w:rFonts w:ascii="Times New Roman" w:hAnsi="Times New Roman" w:cs="Times New Roman"/>
          <w:sz w:val="28"/>
          <w:szCs w:val="28"/>
        </w:rPr>
        <w:t>Старовижівська</w:t>
      </w:r>
      <w:proofErr w:type="spellEnd"/>
      <w:r w:rsidRPr="00B658B3">
        <w:rPr>
          <w:rFonts w:ascii="Times New Roman" w:hAnsi="Times New Roman" w:cs="Times New Roman"/>
          <w:sz w:val="28"/>
          <w:szCs w:val="28"/>
        </w:rPr>
        <w:t xml:space="preserve"> селищна ОТГ, 94 – </w:t>
      </w:r>
      <w:proofErr w:type="spellStart"/>
      <w:r w:rsidRPr="00B658B3">
        <w:rPr>
          <w:rFonts w:ascii="Times New Roman" w:hAnsi="Times New Roman" w:cs="Times New Roman"/>
          <w:sz w:val="28"/>
          <w:szCs w:val="28"/>
        </w:rPr>
        <w:t>Забродівська</w:t>
      </w:r>
      <w:proofErr w:type="spellEnd"/>
      <w:r w:rsidRPr="00B658B3">
        <w:rPr>
          <w:rFonts w:ascii="Times New Roman" w:hAnsi="Times New Roman" w:cs="Times New Roman"/>
          <w:sz w:val="28"/>
          <w:szCs w:val="28"/>
        </w:rPr>
        <w:t xml:space="preserve"> сільська ОТГ, 104 – </w:t>
      </w:r>
      <w:proofErr w:type="spellStart"/>
      <w:r w:rsidRPr="00B658B3">
        <w:rPr>
          <w:rFonts w:ascii="Times New Roman" w:hAnsi="Times New Roman" w:cs="Times New Roman"/>
          <w:sz w:val="28"/>
          <w:szCs w:val="28"/>
        </w:rPr>
        <w:t>Цуманська</w:t>
      </w:r>
      <w:proofErr w:type="spellEnd"/>
      <w:r w:rsidRPr="00B658B3">
        <w:rPr>
          <w:rFonts w:ascii="Times New Roman" w:hAnsi="Times New Roman" w:cs="Times New Roman"/>
          <w:sz w:val="28"/>
          <w:szCs w:val="28"/>
        </w:rPr>
        <w:t xml:space="preserve"> селищна, 106 – </w:t>
      </w:r>
      <w:proofErr w:type="spellStart"/>
      <w:r w:rsidRPr="00B658B3">
        <w:rPr>
          <w:rFonts w:ascii="Times New Roman" w:hAnsi="Times New Roman" w:cs="Times New Roman"/>
          <w:sz w:val="28"/>
          <w:szCs w:val="28"/>
        </w:rPr>
        <w:t>Колківська</w:t>
      </w:r>
      <w:proofErr w:type="spellEnd"/>
      <w:r w:rsidRPr="00B658B3">
        <w:rPr>
          <w:rFonts w:ascii="Times New Roman" w:hAnsi="Times New Roman" w:cs="Times New Roman"/>
          <w:sz w:val="28"/>
          <w:szCs w:val="28"/>
        </w:rPr>
        <w:t xml:space="preserve"> селищна ОТГ.</w:t>
      </w:r>
    </w:p>
    <w:p w14:paraId="0F48D17F" w14:textId="64C12F16" w:rsidR="008D5078" w:rsidRPr="00B658B3" w:rsidRDefault="00FD4A1F" w:rsidP="00886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B3">
        <w:rPr>
          <w:rFonts w:ascii="Times New Roman" w:hAnsi="Times New Roman" w:cs="Times New Roman"/>
          <w:sz w:val="28"/>
          <w:szCs w:val="28"/>
        </w:rPr>
        <w:t xml:space="preserve">Найбільш успішними є показники </w:t>
      </w:r>
      <w:r w:rsidR="00886AA9" w:rsidRPr="00B658B3">
        <w:rPr>
          <w:rFonts w:ascii="Times New Roman" w:hAnsi="Times New Roman" w:cs="Times New Roman"/>
          <w:sz w:val="28"/>
          <w:szCs w:val="28"/>
        </w:rPr>
        <w:t>волинськ</w:t>
      </w:r>
      <w:r w:rsidRPr="00B658B3">
        <w:rPr>
          <w:rFonts w:ascii="Times New Roman" w:hAnsi="Times New Roman" w:cs="Times New Roman"/>
          <w:sz w:val="28"/>
          <w:szCs w:val="28"/>
        </w:rPr>
        <w:t xml:space="preserve">их ОТГ у третій групі. Зокрема, </w:t>
      </w:r>
      <w:proofErr w:type="spellStart"/>
      <w:r w:rsidR="008D5078" w:rsidRPr="00B658B3">
        <w:rPr>
          <w:rFonts w:ascii="Times New Roman" w:hAnsi="Times New Roman" w:cs="Times New Roman"/>
          <w:sz w:val="28"/>
          <w:szCs w:val="28"/>
        </w:rPr>
        <w:t>Підгайцівська</w:t>
      </w:r>
      <w:proofErr w:type="spellEnd"/>
      <w:r w:rsidR="008D5078" w:rsidRPr="00B658B3">
        <w:rPr>
          <w:rFonts w:ascii="Times New Roman" w:hAnsi="Times New Roman" w:cs="Times New Roman"/>
          <w:sz w:val="28"/>
          <w:szCs w:val="28"/>
        </w:rPr>
        <w:t xml:space="preserve"> сільська ОТГ стала другою, </w:t>
      </w:r>
      <w:proofErr w:type="spellStart"/>
      <w:r w:rsidR="008D5078" w:rsidRPr="00B658B3">
        <w:rPr>
          <w:rFonts w:ascii="Times New Roman" w:hAnsi="Times New Roman" w:cs="Times New Roman"/>
          <w:sz w:val="28"/>
          <w:szCs w:val="28"/>
        </w:rPr>
        <w:t>Боратинська</w:t>
      </w:r>
      <w:proofErr w:type="spellEnd"/>
      <w:r w:rsidR="008D5078" w:rsidRPr="00B658B3">
        <w:rPr>
          <w:rFonts w:ascii="Times New Roman" w:hAnsi="Times New Roman" w:cs="Times New Roman"/>
          <w:sz w:val="28"/>
          <w:szCs w:val="28"/>
        </w:rPr>
        <w:t xml:space="preserve"> ОТГ – сьомою, </w:t>
      </w:r>
      <w:proofErr w:type="spellStart"/>
      <w:r w:rsidR="008D5078" w:rsidRPr="00B658B3">
        <w:rPr>
          <w:rFonts w:ascii="Times New Roman" w:hAnsi="Times New Roman" w:cs="Times New Roman"/>
          <w:sz w:val="28"/>
          <w:szCs w:val="28"/>
        </w:rPr>
        <w:t>Липинська</w:t>
      </w:r>
      <w:proofErr w:type="spellEnd"/>
      <w:r w:rsidR="008D5078" w:rsidRPr="00B658B3">
        <w:rPr>
          <w:rFonts w:ascii="Times New Roman" w:hAnsi="Times New Roman" w:cs="Times New Roman"/>
          <w:sz w:val="28"/>
          <w:szCs w:val="28"/>
        </w:rPr>
        <w:t xml:space="preserve"> ОТГ зайняла 19 місце, Рівненська ОТГ – 24, </w:t>
      </w:r>
      <w:proofErr w:type="spellStart"/>
      <w:r w:rsidR="008D5078" w:rsidRPr="00B658B3">
        <w:rPr>
          <w:rFonts w:ascii="Times New Roman" w:hAnsi="Times New Roman" w:cs="Times New Roman"/>
          <w:sz w:val="28"/>
          <w:szCs w:val="28"/>
        </w:rPr>
        <w:t>Княгининівська</w:t>
      </w:r>
      <w:proofErr w:type="spellEnd"/>
      <w:r w:rsidR="008D5078" w:rsidRPr="00B658B3">
        <w:rPr>
          <w:rFonts w:ascii="Times New Roman" w:hAnsi="Times New Roman" w:cs="Times New Roman"/>
          <w:sz w:val="28"/>
          <w:szCs w:val="28"/>
        </w:rPr>
        <w:t xml:space="preserve"> – 25, </w:t>
      </w:r>
      <w:proofErr w:type="spellStart"/>
      <w:r w:rsidR="008D5078" w:rsidRPr="00B658B3">
        <w:rPr>
          <w:rFonts w:ascii="Times New Roman" w:hAnsi="Times New Roman" w:cs="Times New Roman"/>
          <w:sz w:val="28"/>
          <w:szCs w:val="28"/>
        </w:rPr>
        <w:t>Заборольська</w:t>
      </w:r>
      <w:proofErr w:type="spellEnd"/>
      <w:r w:rsidR="008D5078" w:rsidRPr="00B658B3">
        <w:rPr>
          <w:rFonts w:ascii="Times New Roman" w:hAnsi="Times New Roman" w:cs="Times New Roman"/>
          <w:sz w:val="28"/>
          <w:szCs w:val="28"/>
        </w:rPr>
        <w:t xml:space="preserve"> – 33, </w:t>
      </w:r>
      <w:proofErr w:type="spellStart"/>
      <w:r w:rsidR="008D5078" w:rsidRPr="00B658B3">
        <w:rPr>
          <w:rFonts w:ascii="Times New Roman" w:hAnsi="Times New Roman" w:cs="Times New Roman"/>
          <w:sz w:val="28"/>
          <w:szCs w:val="28"/>
        </w:rPr>
        <w:t>Вишнівська</w:t>
      </w:r>
      <w:proofErr w:type="spellEnd"/>
      <w:r w:rsidR="008D5078" w:rsidRPr="00B658B3">
        <w:rPr>
          <w:rFonts w:ascii="Times New Roman" w:hAnsi="Times New Roman" w:cs="Times New Roman"/>
          <w:sz w:val="28"/>
          <w:szCs w:val="28"/>
        </w:rPr>
        <w:t xml:space="preserve"> – 77,</w:t>
      </w:r>
      <w:r w:rsidRPr="00B65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8B3">
        <w:rPr>
          <w:rFonts w:ascii="Times New Roman" w:hAnsi="Times New Roman" w:cs="Times New Roman"/>
          <w:sz w:val="28"/>
          <w:szCs w:val="28"/>
        </w:rPr>
        <w:t>П</w:t>
      </w:r>
      <w:r w:rsidR="008D5078" w:rsidRPr="00B658B3">
        <w:rPr>
          <w:rFonts w:ascii="Times New Roman" w:hAnsi="Times New Roman" w:cs="Times New Roman"/>
          <w:sz w:val="28"/>
          <w:szCs w:val="28"/>
        </w:rPr>
        <w:t>рилісненська</w:t>
      </w:r>
      <w:proofErr w:type="spellEnd"/>
      <w:r w:rsidR="008D5078" w:rsidRPr="00B658B3">
        <w:rPr>
          <w:rFonts w:ascii="Times New Roman" w:hAnsi="Times New Roman" w:cs="Times New Roman"/>
          <w:sz w:val="28"/>
          <w:szCs w:val="28"/>
        </w:rPr>
        <w:t xml:space="preserve"> – 92. Найнижче розмістилася </w:t>
      </w:r>
      <w:proofErr w:type="spellStart"/>
      <w:r w:rsidR="008D5078" w:rsidRPr="00B658B3">
        <w:rPr>
          <w:rFonts w:ascii="Times New Roman" w:hAnsi="Times New Roman" w:cs="Times New Roman"/>
          <w:sz w:val="28"/>
          <w:szCs w:val="28"/>
        </w:rPr>
        <w:t>Головненська</w:t>
      </w:r>
      <w:proofErr w:type="spellEnd"/>
      <w:r w:rsidR="008D5078" w:rsidRPr="00B658B3">
        <w:rPr>
          <w:rFonts w:ascii="Times New Roman" w:hAnsi="Times New Roman" w:cs="Times New Roman"/>
          <w:sz w:val="28"/>
          <w:szCs w:val="28"/>
        </w:rPr>
        <w:t xml:space="preserve"> – 244, </w:t>
      </w:r>
      <w:proofErr w:type="spellStart"/>
      <w:r w:rsidR="008D5078" w:rsidRPr="00B658B3">
        <w:rPr>
          <w:rFonts w:ascii="Times New Roman" w:hAnsi="Times New Roman" w:cs="Times New Roman"/>
          <w:sz w:val="28"/>
          <w:szCs w:val="28"/>
        </w:rPr>
        <w:t>Гуто-Боровенська</w:t>
      </w:r>
      <w:proofErr w:type="spellEnd"/>
      <w:r w:rsidR="008D5078" w:rsidRPr="00B658B3">
        <w:rPr>
          <w:rFonts w:ascii="Times New Roman" w:hAnsi="Times New Roman" w:cs="Times New Roman"/>
          <w:sz w:val="28"/>
          <w:szCs w:val="28"/>
        </w:rPr>
        <w:t xml:space="preserve"> – 255, </w:t>
      </w:r>
      <w:proofErr w:type="spellStart"/>
      <w:r w:rsidR="008D5078" w:rsidRPr="00B658B3">
        <w:rPr>
          <w:rFonts w:ascii="Times New Roman" w:hAnsi="Times New Roman" w:cs="Times New Roman"/>
          <w:sz w:val="28"/>
          <w:szCs w:val="28"/>
        </w:rPr>
        <w:t>Люблинецька</w:t>
      </w:r>
      <w:proofErr w:type="spellEnd"/>
      <w:r w:rsidR="008D5078" w:rsidRPr="00B658B3">
        <w:rPr>
          <w:rFonts w:ascii="Times New Roman" w:hAnsi="Times New Roman" w:cs="Times New Roman"/>
          <w:sz w:val="28"/>
          <w:szCs w:val="28"/>
        </w:rPr>
        <w:t xml:space="preserve"> селищна ОТГ – 260 місця</w:t>
      </w:r>
    </w:p>
    <w:p w14:paraId="288DB285" w14:textId="6238553A" w:rsidR="00886AA9" w:rsidRPr="00B658B3" w:rsidRDefault="008D5078" w:rsidP="00886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B3">
        <w:rPr>
          <w:rFonts w:ascii="Times New Roman" w:hAnsi="Times New Roman" w:cs="Times New Roman"/>
          <w:sz w:val="28"/>
          <w:szCs w:val="28"/>
        </w:rPr>
        <w:t xml:space="preserve">У найбільш чисельній, четвертій групі серед 288 ОТГ волинські ОТГ розмістилися таким чином: 22 місце зайняла Зарічанська ОТГ, 48 – </w:t>
      </w:r>
      <w:proofErr w:type="spellStart"/>
      <w:r w:rsidRPr="00B658B3">
        <w:rPr>
          <w:rFonts w:ascii="Times New Roman" w:hAnsi="Times New Roman" w:cs="Times New Roman"/>
          <w:sz w:val="28"/>
          <w:szCs w:val="28"/>
        </w:rPr>
        <w:t>Жидичинська</w:t>
      </w:r>
      <w:proofErr w:type="spellEnd"/>
      <w:r w:rsidRPr="00B658B3">
        <w:rPr>
          <w:rFonts w:ascii="Times New Roman" w:hAnsi="Times New Roman" w:cs="Times New Roman"/>
          <w:sz w:val="28"/>
          <w:szCs w:val="28"/>
        </w:rPr>
        <w:t xml:space="preserve">, 51 – </w:t>
      </w:r>
      <w:proofErr w:type="spellStart"/>
      <w:r w:rsidRPr="00B658B3">
        <w:rPr>
          <w:rFonts w:ascii="Times New Roman" w:hAnsi="Times New Roman" w:cs="Times New Roman"/>
          <w:sz w:val="28"/>
          <w:szCs w:val="28"/>
        </w:rPr>
        <w:t>Городищенська</w:t>
      </w:r>
      <w:proofErr w:type="spellEnd"/>
      <w:r w:rsidRPr="00B658B3">
        <w:rPr>
          <w:rFonts w:ascii="Times New Roman" w:hAnsi="Times New Roman" w:cs="Times New Roman"/>
          <w:sz w:val="28"/>
          <w:szCs w:val="28"/>
        </w:rPr>
        <w:t xml:space="preserve">, 59 – </w:t>
      </w:r>
      <w:proofErr w:type="spellStart"/>
      <w:r w:rsidRPr="00B658B3">
        <w:rPr>
          <w:rFonts w:ascii="Times New Roman" w:hAnsi="Times New Roman" w:cs="Times New Roman"/>
          <w:sz w:val="28"/>
          <w:szCs w:val="28"/>
        </w:rPr>
        <w:t>Смолигівська</w:t>
      </w:r>
      <w:proofErr w:type="spellEnd"/>
      <w:r w:rsidRPr="00B658B3">
        <w:rPr>
          <w:rFonts w:ascii="Times New Roman" w:hAnsi="Times New Roman" w:cs="Times New Roman"/>
          <w:sz w:val="28"/>
          <w:szCs w:val="28"/>
        </w:rPr>
        <w:t xml:space="preserve">, 90 – </w:t>
      </w:r>
      <w:proofErr w:type="spellStart"/>
      <w:r w:rsidRPr="00B658B3">
        <w:rPr>
          <w:rFonts w:ascii="Times New Roman" w:hAnsi="Times New Roman" w:cs="Times New Roman"/>
          <w:sz w:val="28"/>
          <w:szCs w:val="28"/>
        </w:rPr>
        <w:t>Дубівська</w:t>
      </w:r>
      <w:proofErr w:type="spellEnd"/>
      <w:r w:rsidRPr="00B658B3">
        <w:rPr>
          <w:rFonts w:ascii="Times New Roman" w:hAnsi="Times New Roman" w:cs="Times New Roman"/>
          <w:sz w:val="28"/>
          <w:szCs w:val="28"/>
        </w:rPr>
        <w:t xml:space="preserve">. Найнижче розмістилися </w:t>
      </w:r>
      <w:proofErr w:type="spellStart"/>
      <w:r w:rsidR="0072329F" w:rsidRPr="00B658B3">
        <w:rPr>
          <w:rFonts w:ascii="Times New Roman" w:hAnsi="Times New Roman" w:cs="Times New Roman"/>
          <w:sz w:val="28"/>
          <w:szCs w:val="28"/>
        </w:rPr>
        <w:t>Велицька</w:t>
      </w:r>
      <w:proofErr w:type="spellEnd"/>
      <w:r w:rsidR="0072329F" w:rsidRPr="00B658B3">
        <w:rPr>
          <w:rFonts w:ascii="Times New Roman" w:hAnsi="Times New Roman" w:cs="Times New Roman"/>
          <w:sz w:val="28"/>
          <w:szCs w:val="28"/>
        </w:rPr>
        <w:t xml:space="preserve"> ОТГ – 256, </w:t>
      </w:r>
      <w:proofErr w:type="spellStart"/>
      <w:r w:rsidR="0072329F" w:rsidRPr="00B658B3">
        <w:rPr>
          <w:rFonts w:ascii="Times New Roman" w:hAnsi="Times New Roman" w:cs="Times New Roman"/>
          <w:sz w:val="28"/>
          <w:szCs w:val="28"/>
        </w:rPr>
        <w:t>Привітненська</w:t>
      </w:r>
      <w:proofErr w:type="spellEnd"/>
      <w:r w:rsidR="0072329F" w:rsidRPr="00B658B3">
        <w:rPr>
          <w:rFonts w:ascii="Times New Roman" w:hAnsi="Times New Roman" w:cs="Times New Roman"/>
          <w:sz w:val="28"/>
          <w:szCs w:val="28"/>
        </w:rPr>
        <w:t xml:space="preserve"> – 267, </w:t>
      </w:r>
      <w:proofErr w:type="spellStart"/>
      <w:r w:rsidRPr="00B658B3">
        <w:rPr>
          <w:rFonts w:ascii="Times New Roman" w:hAnsi="Times New Roman" w:cs="Times New Roman"/>
          <w:sz w:val="28"/>
          <w:szCs w:val="28"/>
        </w:rPr>
        <w:t>Сераховичівська</w:t>
      </w:r>
      <w:proofErr w:type="spellEnd"/>
      <w:r w:rsidRPr="00B658B3">
        <w:rPr>
          <w:rFonts w:ascii="Times New Roman" w:hAnsi="Times New Roman" w:cs="Times New Roman"/>
          <w:sz w:val="28"/>
          <w:szCs w:val="28"/>
        </w:rPr>
        <w:t xml:space="preserve"> ОТГ – 282 </w:t>
      </w:r>
      <w:r w:rsidR="0072329F" w:rsidRPr="00B658B3">
        <w:rPr>
          <w:rFonts w:ascii="Times New Roman" w:hAnsi="Times New Roman" w:cs="Times New Roman"/>
          <w:sz w:val="28"/>
          <w:szCs w:val="28"/>
        </w:rPr>
        <w:t>місця.</w:t>
      </w:r>
      <w:r w:rsidRPr="00B658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FDA692" w14:textId="3F79D18C" w:rsidR="00520014" w:rsidRPr="00B658B3" w:rsidRDefault="008630BB" w:rsidP="00886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B3">
        <w:rPr>
          <w:rFonts w:ascii="Times New Roman" w:hAnsi="Times New Roman" w:cs="Times New Roman"/>
          <w:sz w:val="28"/>
          <w:szCs w:val="28"/>
        </w:rPr>
        <w:t>Аналізуючи зазначені</w:t>
      </w:r>
      <w:r w:rsidR="00520014" w:rsidRPr="00B658B3">
        <w:rPr>
          <w:rFonts w:ascii="Times New Roman" w:hAnsi="Times New Roman" w:cs="Times New Roman"/>
          <w:sz w:val="28"/>
          <w:szCs w:val="28"/>
        </w:rPr>
        <w:t xml:space="preserve"> показники, можна дійти висновку, що найбільш успішними у фінансовому плані є ОТГ, на території яких розміщені потужні бюджетоутворюючі підприємс</w:t>
      </w:r>
      <w:r w:rsidR="00B658B3">
        <w:rPr>
          <w:rFonts w:ascii="Times New Roman" w:hAnsi="Times New Roman" w:cs="Times New Roman"/>
          <w:sz w:val="28"/>
          <w:szCs w:val="28"/>
        </w:rPr>
        <w:t>тва (наприклад, «</w:t>
      </w:r>
      <w:proofErr w:type="spellStart"/>
      <w:r w:rsidR="00B658B3">
        <w:rPr>
          <w:rFonts w:ascii="Times New Roman" w:hAnsi="Times New Roman" w:cs="Times New Roman"/>
          <w:sz w:val="28"/>
          <w:szCs w:val="28"/>
        </w:rPr>
        <w:t>Модерн-Експо</w:t>
      </w:r>
      <w:proofErr w:type="spellEnd"/>
      <w:r w:rsidR="00B658B3">
        <w:rPr>
          <w:rFonts w:ascii="Times New Roman" w:hAnsi="Times New Roman" w:cs="Times New Roman"/>
          <w:sz w:val="28"/>
          <w:szCs w:val="28"/>
        </w:rPr>
        <w:t>» на території</w:t>
      </w:r>
      <w:r w:rsidRPr="00B65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8B3">
        <w:rPr>
          <w:rFonts w:ascii="Times New Roman" w:hAnsi="Times New Roman" w:cs="Times New Roman"/>
          <w:sz w:val="28"/>
          <w:szCs w:val="28"/>
        </w:rPr>
        <w:t>Підг</w:t>
      </w:r>
      <w:r w:rsidR="00B658B3">
        <w:rPr>
          <w:rFonts w:ascii="Times New Roman" w:hAnsi="Times New Roman" w:cs="Times New Roman"/>
          <w:sz w:val="28"/>
          <w:szCs w:val="28"/>
        </w:rPr>
        <w:t>айцівської</w:t>
      </w:r>
      <w:proofErr w:type="spellEnd"/>
      <w:r w:rsidR="00520014" w:rsidRPr="00B658B3">
        <w:rPr>
          <w:rFonts w:ascii="Times New Roman" w:hAnsi="Times New Roman" w:cs="Times New Roman"/>
          <w:sz w:val="28"/>
          <w:szCs w:val="28"/>
        </w:rPr>
        <w:t xml:space="preserve"> ОТГ, ТОВ «</w:t>
      </w:r>
      <w:proofErr w:type="spellStart"/>
      <w:r w:rsidR="00520014" w:rsidRPr="00B658B3">
        <w:rPr>
          <w:rFonts w:ascii="Times New Roman" w:hAnsi="Times New Roman" w:cs="Times New Roman"/>
          <w:sz w:val="28"/>
          <w:szCs w:val="28"/>
        </w:rPr>
        <w:t>Кромберг</w:t>
      </w:r>
      <w:proofErr w:type="spellEnd"/>
      <w:r w:rsidR="00520014" w:rsidRPr="00B658B3">
        <w:rPr>
          <w:rFonts w:ascii="Times New Roman" w:hAnsi="Times New Roman" w:cs="Times New Roman"/>
          <w:sz w:val="28"/>
          <w:szCs w:val="28"/>
        </w:rPr>
        <w:t xml:space="preserve"> &amp;</w:t>
      </w:r>
      <w:r w:rsidR="00B658B3">
        <w:rPr>
          <w:rFonts w:ascii="Times New Roman" w:hAnsi="Times New Roman" w:cs="Times New Roman"/>
          <w:sz w:val="28"/>
          <w:szCs w:val="28"/>
        </w:rPr>
        <w:t xml:space="preserve"> Шуберт» у </w:t>
      </w:r>
      <w:proofErr w:type="spellStart"/>
      <w:r w:rsidR="00B658B3">
        <w:rPr>
          <w:rFonts w:ascii="Times New Roman" w:hAnsi="Times New Roman" w:cs="Times New Roman"/>
          <w:sz w:val="28"/>
          <w:szCs w:val="28"/>
        </w:rPr>
        <w:t>Боратинській</w:t>
      </w:r>
      <w:proofErr w:type="spellEnd"/>
      <w:r w:rsidR="00520014" w:rsidRPr="00B658B3">
        <w:rPr>
          <w:rFonts w:ascii="Times New Roman" w:hAnsi="Times New Roman" w:cs="Times New Roman"/>
          <w:sz w:val="28"/>
          <w:szCs w:val="28"/>
        </w:rPr>
        <w:t xml:space="preserve"> ОТГ, ПАТ «Володимир-Волинська птахофабрика»</w:t>
      </w:r>
      <w:r w:rsidR="00B658B3">
        <w:rPr>
          <w:rFonts w:ascii="Times New Roman" w:hAnsi="Times New Roman" w:cs="Times New Roman"/>
          <w:sz w:val="28"/>
          <w:szCs w:val="28"/>
        </w:rPr>
        <w:t xml:space="preserve"> у Зарічанській</w:t>
      </w:r>
      <w:r w:rsidR="00520014" w:rsidRPr="00B658B3">
        <w:rPr>
          <w:rFonts w:ascii="Times New Roman" w:hAnsi="Times New Roman" w:cs="Times New Roman"/>
          <w:sz w:val="28"/>
          <w:szCs w:val="28"/>
        </w:rPr>
        <w:t xml:space="preserve"> ОТГ, завод </w:t>
      </w:r>
      <w:r w:rsidR="00520014" w:rsidRPr="00B658B3">
        <w:rPr>
          <w:rFonts w:ascii="Times New Roman" w:hAnsi="Times New Roman" w:cs="Times New Roman"/>
          <w:sz w:val="28"/>
          <w:szCs w:val="28"/>
          <w:lang w:val="en-US"/>
        </w:rPr>
        <w:t>Nestle</w:t>
      </w:r>
      <w:r w:rsidR="00520014" w:rsidRPr="00B658B3">
        <w:rPr>
          <w:rFonts w:ascii="Times New Roman" w:hAnsi="Times New Roman" w:cs="Times New Roman"/>
          <w:sz w:val="28"/>
          <w:szCs w:val="28"/>
        </w:rPr>
        <w:t xml:space="preserve"> </w:t>
      </w:r>
      <w:r w:rsidR="00B658B3">
        <w:rPr>
          <w:rFonts w:ascii="Times New Roman" w:hAnsi="Times New Roman" w:cs="Times New Roman"/>
          <w:sz w:val="28"/>
          <w:szCs w:val="28"/>
        </w:rPr>
        <w:t>у</w:t>
      </w:r>
      <w:r w:rsidR="00520014" w:rsidRPr="00B65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58B3">
        <w:rPr>
          <w:rFonts w:ascii="Times New Roman" w:hAnsi="Times New Roman" w:cs="Times New Roman"/>
          <w:sz w:val="28"/>
          <w:szCs w:val="28"/>
        </w:rPr>
        <w:t>Смолигівській</w:t>
      </w:r>
      <w:proofErr w:type="spellEnd"/>
      <w:r w:rsidR="00B658B3">
        <w:rPr>
          <w:rFonts w:ascii="Times New Roman" w:hAnsi="Times New Roman" w:cs="Times New Roman"/>
          <w:sz w:val="28"/>
          <w:szCs w:val="28"/>
        </w:rPr>
        <w:t xml:space="preserve"> ОТГ), а також ті, котрі</w:t>
      </w:r>
      <w:r w:rsidR="00520014" w:rsidRPr="00B658B3">
        <w:rPr>
          <w:rFonts w:ascii="Times New Roman" w:hAnsi="Times New Roman" w:cs="Times New Roman"/>
          <w:sz w:val="28"/>
          <w:szCs w:val="28"/>
        </w:rPr>
        <w:t xml:space="preserve"> знаходяться навколо міст обласного </w:t>
      </w:r>
      <w:r w:rsidRPr="00B658B3">
        <w:rPr>
          <w:rFonts w:ascii="Times New Roman" w:hAnsi="Times New Roman" w:cs="Times New Roman"/>
          <w:sz w:val="28"/>
          <w:szCs w:val="28"/>
        </w:rPr>
        <w:t>значення і</w:t>
      </w:r>
      <w:r w:rsidR="00520014" w:rsidRPr="00B658B3">
        <w:rPr>
          <w:rFonts w:ascii="Times New Roman" w:hAnsi="Times New Roman" w:cs="Times New Roman"/>
          <w:sz w:val="28"/>
          <w:szCs w:val="28"/>
        </w:rPr>
        <w:t xml:space="preserve"> на території яких розміщена значна кількість сервісних підприємств і торгових центрів, (наприклад, </w:t>
      </w:r>
      <w:proofErr w:type="spellStart"/>
      <w:r w:rsidR="00BC63CA" w:rsidRPr="00B658B3">
        <w:rPr>
          <w:rFonts w:ascii="Times New Roman" w:hAnsi="Times New Roman" w:cs="Times New Roman"/>
          <w:sz w:val="28"/>
          <w:szCs w:val="28"/>
        </w:rPr>
        <w:t>Липинська</w:t>
      </w:r>
      <w:proofErr w:type="spellEnd"/>
      <w:r w:rsidR="00BC63CA" w:rsidRPr="00B658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63CA" w:rsidRPr="00B658B3">
        <w:rPr>
          <w:rFonts w:ascii="Times New Roman" w:hAnsi="Times New Roman" w:cs="Times New Roman"/>
          <w:sz w:val="28"/>
          <w:szCs w:val="28"/>
        </w:rPr>
        <w:t>Княгининівська</w:t>
      </w:r>
      <w:proofErr w:type="spellEnd"/>
      <w:r w:rsidR="00BC63CA" w:rsidRPr="00B658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63CA" w:rsidRPr="00B658B3">
        <w:rPr>
          <w:rFonts w:ascii="Times New Roman" w:hAnsi="Times New Roman" w:cs="Times New Roman"/>
          <w:sz w:val="28"/>
          <w:szCs w:val="28"/>
        </w:rPr>
        <w:t>Заборольська</w:t>
      </w:r>
      <w:proofErr w:type="spellEnd"/>
      <w:r w:rsidR="00BC63CA" w:rsidRPr="00B658B3">
        <w:rPr>
          <w:rFonts w:ascii="Times New Roman" w:hAnsi="Times New Roman" w:cs="Times New Roman"/>
          <w:sz w:val="28"/>
          <w:szCs w:val="28"/>
        </w:rPr>
        <w:t xml:space="preserve"> ОТГ).</w:t>
      </w:r>
    </w:p>
    <w:p w14:paraId="4CDA4802" w14:textId="34E811C7" w:rsidR="00234ADF" w:rsidRPr="00B658B3" w:rsidRDefault="00BC63CA" w:rsidP="00B37F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B3">
        <w:rPr>
          <w:rFonts w:ascii="Times New Roman" w:hAnsi="Times New Roman" w:cs="Times New Roman"/>
          <w:sz w:val="28"/>
          <w:szCs w:val="28"/>
        </w:rPr>
        <w:t xml:space="preserve">Однак, викликають </w:t>
      </w:r>
      <w:r w:rsidR="002857D5" w:rsidRPr="00B658B3">
        <w:rPr>
          <w:rFonts w:ascii="Times New Roman" w:hAnsi="Times New Roman" w:cs="Times New Roman"/>
          <w:sz w:val="28"/>
          <w:szCs w:val="28"/>
        </w:rPr>
        <w:t>певне здивування</w:t>
      </w:r>
      <w:r w:rsidRPr="00B658B3">
        <w:rPr>
          <w:rFonts w:ascii="Times New Roman" w:hAnsi="Times New Roman" w:cs="Times New Roman"/>
          <w:sz w:val="28"/>
          <w:szCs w:val="28"/>
        </w:rPr>
        <w:t xml:space="preserve"> доволі скромні показники ОТГ, утворе</w:t>
      </w:r>
      <w:r w:rsidR="00262477" w:rsidRPr="00B658B3">
        <w:rPr>
          <w:rFonts w:ascii="Times New Roman" w:hAnsi="Times New Roman" w:cs="Times New Roman"/>
          <w:sz w:val="28"/>
          <w:szCs w:val="28"/>
        </w:rPr>
        <w:t>них</w:t>
      </w:r>
      <w:r w:rsidRPr="00B658B3">
        <w:rPr>
          <w:rFonts w:ascii="Times New Roman" w:hAnsi="Times New Roman" w:cs="Times New Roman"/>
          <w:sz w:val="28"/>
          <w:szCs w:val="28"/>
        </w:rPr>
        <w:t xml:space="preserve"> на базі районних центрів, які</w:t>
      </w:r>
      <w:r w:rsidR="00B658B3">
        <w:rPr>
          <w:rFonts w:ascii="Times New Roman" w:hAnsi="Times New Roman" w:cs="Times New Roman"/>
          <w:sz w:val="28"/>
          <w:szCs w:val="28"/>
        </w:rPr>
        <w:t>, за ідеологією реформи,</w:t>
      </w:r>
      <w:r w:rsidRPr="00B658B3">
        <w:rPr>
          <w:rFonts w:ascii="Times New Roman" w:hAnsi="Times New Roman" w:cs="Times New Roman"/>
          <w:sz w:val="28"/>
          <w:szCs w:val="28"/>
        </w:rPr>
        <w:t xml:space="preserve"> разом з містами обласного значення мали б</w:t>
      </w:r>
      <w:r w:rsidR="00262477" w:rsidRPr="00B658B3">
        <w:rPr>
          <w:rFonts w:ascii="Times New Roman" w:hAnsi="Times New Roman" w:cs="Times New Roman"/>
          <w:sz w:val="28"/>
          <w:szCs w:val="28"/>
        </w:rPr>
        <w:t xml:space="preserve"> стати</w:t>
      </w:r>
      <w:r w:rsidRPr="00B658B3">
        <w:rPr>
          <w:rFonts w:ascii="Times New Roman" w:hAnsi="Times New Roman" w:cs="Times New Roman"/>
          <w:sz w:val="28"/>
          <w:szCs w:val="28"/>
        </w:rPr>
        <w:t xml:space="preserve"> локомотивами економічного розвитку суміжних територій. Зокрема, лише Ківерцівська міська ОТГ зайняла 38 місце </w:t>
      </w:r>
      <w:r w:rsidRPr="00B658B3">
        <w:rPr>
          <w:rFonts w:ascii="Times New Roman" w:hAnsi="Times New Roman" w:cs="Times New Roman"/>
          <w:sz w:val="28"/>
          <w:szCs w:val="28"/>
        </w:rPr>
        <w:lastRenderedPageBreak/>
        <w:t xml:space="preserve">серед 95 ОТГ </w:t>
      </w:r>
      <w:r w:rsidR="00262477" w:rsidRPr="00B658B3">
        <w:rPr>
          <w:rFonts w:ascii="Times New Roman" w:hAnsi="Times New Roman" w:cs="Times New Roman"/>
          <w:sz w:val="28"/>
          <w:szCs w:val="28"/>
        </w:rPr>
        <w:t>у першій групі</w:t>
      </w:r>
      <w:r w:rsidRPr="00B658B3">
        <w:rPr>
          <w:rFonts w:ascii="Times New Roman" w:hAnsi="Times New Roman" w:cs="Times New Roman"/>
          <w:sz w:val="28"/>
          <w:szCs w:val="28"/>
        </w:rPr>
        <w:t>. Натомість</w:t>
      </w:r>
      <w:r w:rsidR="00262477" w:rsidRPr="00B658B3">
        <w:rPr>
          <w:rFonts w:ascii="Times New Roman" w:hAnsi="Times New Roman" w:cs="Times New Roman"/>
          <w:sz w:val="28"/>
          <w:szCs w:val="28"/>
        </w:rPr>
        <w:t>,</w:t>
      </w:r>
      <w:r w:rsidR="00B65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58B3">
        <w:rPr>
          <w:rFonts w:ascii="Times New Roman" w:hAnsi="Times New Roman" w:cs="Times New Roman"/>
          <w:sz w:val="28"/>
          <w:szCs w:val="28"/>
        </w:rPr>
        <w:t>Любомльська</w:t>
      </w:r>
      <w:proofErr w:type="spellEnd"/>
      <w:r w:rsidR="00B658B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B658B3">
        <w:rPr>
          <w:rFonts w:ascii="Times New Roman" w:hAnsi="Times New Roman" w:cs="Times New Roman"/>
          <w:sz w:val="28"/>
          <w:szCs w:val="28"/>
        </w:rPr>
        <w:t>Любешівська</w:t>
      </w:r>
      <w:proofErr w:type="spellEnd"/>
      <w:r w:rsidR="00B658B3">
        <w:rPr>
          <w:rFonts w:ascii="Times New Roman" w:hAnsi="Times New Roman" w:cs="Times New Roman"/>
          <w:sz w:val="28"/>
          <w:szCs w:val="28"/>
        </w:rPr>
        <w:t xml:space="preserve"> ОТГ стали</w:t>
      </w:r>
      <w:r w:rsidRPr="00B658B3">
        <w:rPr>
          <w:rFonts w:ascii="Times New Roman" w:hAnsi="Times New Roman" w:cs="Times New Roman"/>
          <w:sz w:val="28"/>
          <w:szCs w:val="28"/>
        </w:rPr>
        <w:t xml:space="preserve"> аутсайдерами у </w:t>
      </w:r>
      <w:r w:rsidR="00262477" w:rsidRPr="00B658B3">
        <w:rPr>
          <w:rFonts w:ascii="Times New Roman" w:hAnsi="Times New Roman" w:cs="Times New Roman"/>
          <w:sz w:val="28"/>
          <w:szCs w:val="28"/>
        </w:rPr>
        <w:t>своїй групі. У</w:t>
      </w:r>
      <w:r w:rsidRPr="00B658B3">
        <w:rPr>
          <w:rFonts w:ascii="Times New Roman" w:hAnsi="Times New Roman" w:cs="Times New Roman"/>
          <w:sz w:val="28"/>
          <w:szCs w:val="28"/>
        </w:rPr>
        <w:t xml:space="preserve"> другій груп</w:t>
      </w:r>
      <w:r w:rsidR="00B658B3">
        <w:rPr>
          <w:rFonts w:ascii="Times New Roman" w:hAnsi="Times New Roman" w:cs="Times New Roman"/>
          <w:sz w:val="28"/>
          <w:szCs w:val="28"/>
        </w:rPr>
        <w:t>і</w:t>
      </w:r>
      <w:r w:rsidR="00262477" w:rsidRPr="00B65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477" w:rsidRPr="00B658B3">
        <w:rPr>
          <w:rFonts w:ascii="Times New Roman" w:hAnsi="Times New Roman" w:cs="Times New Roman"/>
          <w:sz w:val="28"/>
          <w:szCs w:val="28"/>
        </w:rPr>
        <w:t>Старовижівська</w:t>
      </w:r>
      <w:proofErr w:type="spellEnd"/>
      <w:r w:rsidR="00262477" w:rsidRPr="00B658B3">
        <w:rPr>
          <w:rFonts w:ascii="Times New Roman" w:hAnsi="Times New Roman" w:cs="Times New Roman"/>
          <w:sz w:val="28"/>
          <w:szCs w:val="28"/>
        </w:rPr>
        <w:t xml:space="preserve"> ОТГ зайняла 82 місце </w:t>
      </w:r>
      <w:r w:rsidRPr="00B658B3">
        <w:rPr>
          <w:rFonts w:ascii="Times New Roman" w:hAnsi="Times New Roman" w:cs="Times New Roman"/>
          <w:sz w:val="28"/>
          <w:szCs w:val="28"/>
        </w:rPr>
        <w:t>і</w:t>
      </w:r>
      <w:r w:rsidR="00262477" w:rsidRPr="00B658B3">
        <w:rPr>
          <w:rFonts w:ascii="Times New Roman" w:hAnsi="Times New Roman" w:cs="Times New Roman"/>
          <w:sz w:val="28"/>
          <w:szCs w:val="28"/>
        </w:rPr>
        <w:t xml:space="preserve">з 128 ОТГ. У третій групі Шацька ОТГ зайняла 160 місце, </w:t>
      </w:r>
      <w:proofErr w:type="spellStart"/>
      <w:r w:rsidR="00262477" w:rsidRPr="00B658B3">
        <w:rPr>
          <w:rFonts w:ascii="Times New Roman" w:hAnsi="Times New Roman" w:cs="Times New Roman"/>
          <w:sz w:val="28"/>
          <w:szCs w:val="28"/>
        </w:rPr>
        <w:t>Турійська</w:t>
      </w:r>
      <w:proofErr w:type="spellEnd"/>
      <w:r w:rsidR="00262477" w:rsidRPr="00B658B3">
        <w:rPr>
          <w:rFonts w:ascii="Times New Roman" w:hAnsi="Times New Roman" w:cs="Times New Roman"/>
          <w:sz w:val="28"/>
          <w:szCs w:val="28"/>
        </w:rPr>
        <w:t xml:space="preserve"> ОТГ – 178, </w:t>
      </w:r>
      <w:proofErr w:type="spellStart"/>
      <w:r w:rsidR="00262477" w:rsidRPr="00B658B3">
        <w:rPr>
          <w:rFonts w:ascii="Times New Roman" w:hAnsi="Times New Roman" w:cs="Times New Roman"/>
          <w:sz w:val="28"/>
          <w:szCs w:val="28"/>
        </w:rPr>
        <w:t>Іваничівська</w:t>
      </w:r>
      <w:proofErr w:type="spellEnd"/>
      <w:r w:rsidR="00262477" w:rsidRPr="00B658B3">
        <w:rPr>
          <w:rFonts w:ascii="Times New Roman" w:hAnsi="Times New Roman" w:cs="Times New Roman"/>
          <w:sz w:val="28"/>
          <w:szCs w:val="28"/>
        </w:rPr>
        <w:t xml:space="preserve"> ОТГ – 214.</w:t>
      </w:r>
      <w:r w:rsidR="002857D5" w:rsidRPr="00B658B3">
        <w:rPr>
          <w:rFonts w:ascii="Times New Roman" w:hAnsi="Times New Roman" w:cs="Times New Roman"/>
          <w:sz w:val="28"/>
          <w:szCs w:val="28"/>
        </w:rPr>
        <w:t xml:space="preserve"> За основними показниками</w:t>
      </w:r>
      <w:r w:rsidR="00B37FDB" w:rsidRPr="00B658B3">
        <w:rPr>
          <w:rFonts w:ascii="Times New Roman" w:hAnsi="Times New Roman" w:cs="Times New Roman"/>
          <w:sz w:val="28"/>
          <w:szCs w:val="28"/>
        </w:rPr>
        <w:t xml:space="preserve"> вони суттєво поступилися</w:t>
      </w:r>
      <w:r w:rsidR="002857D5" w:rsidRPr="00B658B3">
        <w:rPr>
          <w:rFonts w:ascii="Times New Roman" w:hAnsi="Times New Roman" w:cs="Times New Roman"/>
          <w:sz w:val="28"/>
          <w:szCs w:val="28"/>
        </w:rPr>
        <w:t xml:space="preserve"> багатьом сільським ОТГ, що мають</w:t>
      </w:r>
      <w:r w:rsidR="00B37FDB" w:rsidRPr="00B658B3">
        <w:rPr>
          <w:rFonts w:ascii="Times New Roman" w:hAnsi="Times New Roman" w:cs="Times New Roman"/>
          <w:sz w:val="28"/>
          <w:szCs w:val="28"/>
        </w:rPr>
        <w:t xml:space="preserve"> </w:t>
      </w:r>
      <w:r w:rsidR="00B658B3">
        <w:rPr>
          <w:rFonts w:ascii="Times New Roman" w:hAnsi="Times New Roman" w:cs="Times New Roman"/>
          <w:sz w:val="28"/>
          <w:szCs w:val="28"/>
        </w:rPr>
        <w:t>набагато</w:t>
      </w:r>
      <w:r w:rsidR="00B37FDB" w:rsidRPr="00B658B3">
        <w:rPr>
          <w:rFonts w:ascii="Times New Roman" w:hAnsi="Times New Roman" w:cs="Times New Roman"/>
          <w:sz w:val="28"/>
          <w:szCs w:val="28"/>
        </w:rPr>
        <w:t xml:space="preserve"> скромніші потенційні можливості. </w:t>
      </w:r>
    </w:p>
    <w:p w14:paraId="18EE7ED8" w14:textId="5B287784" w:rsidR="002857D5" w:rsidRPr="00B658B3" w:rsidRDefault="00B37FDB" w:rsidP="002857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B3">
        <w:rPr>
          <w:rFonts w:ascii="Times New Roman" w:hAnsi="Times New Roman" w:cs="Times New Roman"/>
          <w:sz w:val="28"/>
          <w:szCs w:val="28"/>
        </w:rPr>
        <w:t>На нашу думку, п</w:t>
      </w:r>
      <w:r w:rsidR="002857D5" w:rsidRPr="00B658B3">
        <w:rPr>
          <w:rFonts w:ascii="Times New Roman" w:hAnsi="Times New Roman" w:cs="Times New Roman"/>
          <w:sz w:val="28"/>
          <w:szCs w:val="28"/>
        </w:rPr>
        <w:t>ояснити цю ситуацію</w:t>
      </w:r>
      <w:r w:rsidRPr="00B658B3">
        <w:rPr>
          <w:rFonts w:ascii="Times New Roman" w:hAnsi="Times New Roman" w:cs="Times New Roman"/>
          <w:sz w:val="28"/>
          <w:szCs w:val="28"/>
        </w:rPr>
        <w:t xml:space="preserve"> </w:t>
      </w:r>
      <w:r w:rsidR="002857D5" w:rsidRPr="00B658B3">
        <w:rPr>
          <w:rFonts w:ascii="Times New Roman" w:hAnsi="Times New Roman" w:cs="Times New Roman"/>
          <w:sz w:val="28"/>
          <w:szCs w:val="28"/>
        </w:rPr>
        <w:t>можна</w:t>
      </w:r>
      <w:r w:rsidR="00B721A4" w:rsidRPr="00B658B3">
        <w:rPr>
          <w:rFonts w:ascii="Times New Roman" w:hAnsi="Times New Roman" w:cs="Times New Roman"/>
          <w:sz w:val="28"/>
          <w:szCs w:val="28"/>
        </w:rPr>
        <w:t xml:space="preserve"> </w:t>
      </w:r>
      <w:r w:rsidRPr="00B658B3">
        <w:rPr>
          <w:rFonts w:ascii="Times New Roman" w:hAnsi="Times New Roman" w:cs="Times New Roman"/>
          <w:sz w:val="28"/>
          <w:szCs w:val="28"/>
        </w:rPr>
        <w:t xml:space="preserve">низьким рівнем </w:t>
      </w:r>
      <w:r w:rsidR="000B524A">
        <w:rPr>
          <w:rFonts w:ascii="Times New Roman" w:hAnsi="Times New Roman" w:cs="Times New Roman"/>
          <w:sz w:val="28"/>
          <w:szCs w:val="28"/>
        </w:rPr>
        <w:t>управління</w:t>
      </w:r>
      <w:r w:rsidR="00234ADF" w:rsidRPr="00B658B3">
        <w:rPr>
          <w:rFonts w:ascii="Times New Roman" w:hAnsi="Times New Roman" w:cs="Times New Roman"/>
          <w:sz w:val="28"/>
          <w:szCs w:val="28"/>
        </w:rPr>
        <w:t xml:space="preserve">, </w:t>
      </w:r>
      <w:r w:rsidR="00B721A4" w:rsidRPr="00B658B3">
        <w:rPr>
          <w:rFonts w:ascii="Times New Roman" w:hAnsi="Times New Roman" w:cs="Times New Roman"/>
          <w:sz w:val="28"/>
          <w:szCs w:val="28"/>
        </w:rPr>
        <w:t>зокрема повільністю реформування мережі бюджетних установ</w:t>
      </w:r>
      <w:r w:rsidR="002857D5" w:rsidRPr="00B658B3">
        <w:rPr>
          <w:rFonts w:ascii="Times New Roman" w:hAnsi="Times New Roman" w:cs="Times New Roman"/>
          <w:sz w:val="28"/>
          <w:szCs w:val="28"/>
        </w:rPr>
        <w:t xml:space="preserve"> та відсутністю </w:t>
      </w:r>
      <w:r w:rsidR="00B721A4" w:rsidRPr="00B658B3">
        <w:rPr>
          <w:rFonts w:ascii="Times New Roman" w:hAnsi="Times New Roman" w:cs="Times New Roman"/>
          <w:sz w:val="28"/>
          <w:szCs w:val="28"/>
        </w:rPr>
        <w:t xml:space="preserve">економічної </w:t>
      </w:r>
      <w:r w:rsidR="002857D5" w:rsidRPr="00B658B3">
        <w:rPr>
          <w:rFonts w:ascii="Times New Roman" w:hAnsi="Times New Roman" w:cs="Times New Roman"/>
          <w:sz w:val="28"/>
          <w:szCs w:val="28"/>
        </w:rPr>
        <w:t>активності. Керівництво зазначених ОТГ поки не змогло опанувати мистецтво ефективного управління змішаною територіальною громадою</w:t>
      </w:r>
      <w:r w:rsidR="000B524A">
        <w:rPr>
          <w:rFonts w:ascii="Times New Roman" w:hAnsi="Times New Roman" w:cs="Times New Roman"/>
          <w:sz w:val="28"/>
          <w:szCs w:val="28"/>
        </w:rPr>
        <w:t xml:space="preserve"> в абсолютно нових реаліях функціонування ОТГ,</w:t>
      </w:r>
      <w:r w:rsidR="002857D5" w:rsidRPr="00B658B3">
        <w:rPr>
          <w:rFonts w:ascii="Times New Roman" w:hAnsi="Times New Roman" w:cs="Times New Roman"/>
          <w:sz w:val="28"/>
          <w:szCs w:val="28"/>
        </w:rPr>
        <w:t xml:space="preserve"> що вимагає гармонійного поєднання мі</w:t>
      </w:r>
      <w:r w:rsidR="000B524A">
        <w:rPr>
          <w:rFonts w:ascii="Times New Roman" w:hAnsi="Times New Roman" w:cs="Times New Roman"/>
          <w:sz w:val="28"/>
          <w:szCs w:val="28"/>
        </w:rPr>
        <w:t>ського і сільського менеджменту</w:t>
      </w:r>
      <w:r w:rsidR="002857D5" w:rsidRPr="00B658B3">
        <w:rPr>
          <w:rFonts w:ascii="Times New Roman" w:hAnsi="Times New Roman" w:cs="Times New Roman"/>
          <w:sz w:val="28"/>
          <w:szCs w:val="28"/>
        </w:rPr>
        <w:t xml:space="preserve">. Методи і форми публічного управління, що застосовувалися ними у </w:t>
      </w:r>
      <w:proofErr w:type="spellStart"/>
      <w:r w:rsidR="002857D5" w:rsidRPr="00B658B3">
        <w:rPr>
          <w:rFonts w:ascii="Times New Roman" w:hAnsi="Times New Roman" w:cs="Times New Roman"/>
          <w:sz w:val="28"/>
          <w:szCs w:val="28"/>
        </w:rPr>
        <w:t>дореформаційний</w:t>
      </w:r>
      <w:proofErr w:type="spellEnd"/>
      <w:r w:rsidR="002857D5" w:rsidRPr="00B658B3">
        <w:rPr>
          <w:rFonts w:ascii="Times New Roman" w:hAnsi="Times New Roman" w:cs="Times New Roman"/>
          <w:sz w:val="28"/>
          <w:szCs w:val="28"/>
        </w:rPr>
        <w:t xml:space="preserve"> період, не відп</w:t>
      </w:r>
      <w:r w:rsidR="00BD2567" w:rsidRPr="00B658B3">
        <w:rPr>
          <w:rFonts w:ascii="Times New Roman" w:hAnsi="Times New Roman" w:cs="Times New Roman"/>
          <w:sz w:val="28"/>
          <w:szCs w:val="28"/>
        </w:rPr>
        <w:t xml:space="preserve">овідають викликам, що постали перед ОТГ. </w:t>
      </w:r>
    </w:p>
    <w:p w14:paraId="24C638A8" w14:textId="3DAA9B0B" w:rsidR="00E53FAA" w:rsidRPr="00B658B3" w:rsidRDefault="00B721A4" w:rsidP="002857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B3">
        <w:rPr>
          <w:rFonts w:ascii="Times New Roman" w:hAnsi="Times New Roman" w:cs="Times New Roman"/>
          <w:sz w:val="28"/>
          <w:szCs w:val="28"/>
        </w:rPr>
        <w:t xml:space="preserve"> </w:t>
      </w:r>
      <w:r w:rsidR="00BD2567" w:rsidRPr="00B658B3">
        <w:rPr>
          <w:rFonts w:ascii="Times New Roman" w:hAnsi="Times New Roman" w:cs="Times New Roman"/>
          <w:sz w:val="28"/>
          <w:szCs w:val="28"/>
        </w:rPr>
        <w:t>Ще однією причиною такого стану є порушення</w:t>
      </w:r>
      <w:r w:rsidR="00234ADF" w:rsidRPr="00B658B3">
        <w:rPr>
          <w:rFonts w:ascii="Times New Roman" w:hAnsi="Times New Roman" w:cs="Times New Roman"/>
          <w:sz w:val="28"/>
          <w:szCs w:val="28"/>
        </w:rPr>
        <w:t xml:space="preserve"> оптимальності </w:t>
      </w:r>
      <w:r w:rsidRPr="00B658B3">
        <w:rPr>
          <w:rFonts w:ascii="Times New Roman" w:hAnsi="Times New Roman" w:cs="Times New Roman"/>
          <w:sz w:val="28"/>
          <w:szCs w:val="28"/>
        </w:rPr>
        <w:t xml:space="preserve">основних </w:t>
      </w:r>
      <w:r w:rsidR="00234ADF" w:rsidRPr="00B658B3">
        <w:rPr>
          <w:rFonts w:ascii="Times New Roman" w:hAnsi="Times New Roman" w:cs="Times New Roman"/>
          <w:sz w:val="28"/>
          <w:szCs w:val="28"/>
        </w:rPr>
        <w:t>параметрів</w:t>
      </w:r>
      <w:r w:rsidRPr="00B658B3">
        <w:rPr>
          <w:rFonts w:ascii="Times New Roman" w:hAnsi="Times New Roman" w:cs="Times New Roman"/>
          <w:sz w:val="28"/>
          <w:szCs w:val="28"/>
        </w:rPr>
        <w:t xml:space="preserve"> формування ОТГ</w:t>
      </w:r>
      <w:r w:rsidR="00234ADF" w:rsidRPr="00B658B3">
        <w:rPr>
          <w:rFonts w:ascii="Times New Roman" w:hAnsi="Times New Roman" w:cs="Times New Roman"/>
          <w:sz w:val="28"/>
          <w:szCs w:val="28"/>
        </w:rPr>
        <w:t>: територія/населення</w:t>
      </w:r>
      <w:r w:rsidR="00B37FDB" w:rsidRPr="00B658B3">
        <w:rPr>
          <w:rFonts w:ascii="Times New Roman" w:hAnsi="Times New Roman" w:cs="Times New Roman"/>
          <w:sz w:val="28"/>
          <w:szCs w:val="28"/>
        </w:rPr>
        <w:t>.</w:t>
      </w:r>
      <w:r w:rsidR="00234ADF" w:rsidRPr="00B658B3">
        <w:rPr>
          <w:rFonts w:ascii="Times New Roman" w:hAnsi="Times New Roman" w:cs="Times New Roman"/>
          <w:sz w:val="28"/>
          <w:szCs w:val="28"/>
        </w:rPr>
        <w:t xml:space="preserve"> Зокрема, р</w:t>
      </w:r>
      <w:r w:rsidR="00B37FDB" w:rsidRPr="00B658B3">
        <w:rPr>
          <w:rFonts w:ascii="Times New Roman" w:hAnsi="Times New Roman" w:cs="Times New Roman"/>
          <w:sz w:val="28"/>
          <w:szCs w:val="28"/>
        </w:rPr>
        <w:t xml:space="preserve">езультати </w:t>
      </w:r>
      <w:r w:rsidR="00B37FDB" w:rsidRPr="00B658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фінансової (бюджетної) діяльності </w:t>
      </w:r>
      <w:proofErr w:type="spellStart"/>
      <w:r w:rsidR="00B37FDB" w:rsidRPr="00B658B3">
        <w:rPr>
          <w:rFonts w:ascii="Times New Roman" w:hAnsi="Times New Roman" w:cs="Times New Roman"/>
          <w:sz w:val="28"/>
          <w:szCs w:val="28"/>
        </w:rPr>
        <w:t>Любешівської</w:t>
      </w:r>
      <w:proofErr w:type="spellEnd"/>
      <w:r w:rsidR="00B37FDB" w:rsidRPr="00B658B3">
        <w:rPr>
          <w:rFonts w:ascii="Times New Roman" w:hAnsi="Times New Roman" w:cs="Times New Roman"/>
          <w:sz w:val="28"/>
          <w:szCs w:val="28"/>
        </w:rPr>
        <w:t xml:space="preserve"> селищної ОТГ підтверджують позицію автора про те, що великі за територією ОТГ мають суттєві проблеми не лише сервісного, а й </w:t>
      </w:r>
      <w:r w:rsidR="00B37FDB" w:rsidRPr="00B658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фінансового </w:t>
      </w:r>
      <w:r w:rsidR="00234ADF" w:rsidRPr="00B658B3">
        <w:rPr>
          <w:rFonts w:ascii="Times New Roman" w:hAnsi="Times New Roman" w:cs="Times New Roman"/>
          <w:sz w:val="28"/>
          <w:szCs w:val="28"/>
        </w:rPr>
        <w:t xml:space="preserve"> характеру, і</w:t>
      </w:r>
      <w:r w:rsidR="000B524A">
        <w:rPr>
          <w:rFonts w:ascii="Times New Roman" w:hAnsi="Times New Roman" w:cs="Times New Roman"/>
          <w:sz w:val="28"/>
          <w:szCs w:val="28"/>
        </w:rPr>
        <w:t>,</w:t>
      </w:r>
      <w:r w:rsidR="00234ADF" w:rsidRPr="00B658B3">
        <w:rPr>
          <w:rFonts w:ascii="Times New Roman" w:hAnsi="Times New Roman" w:cs="Times New Roman"/>
          <w:sz w:val="28"/>
          <w:szCs w:val="28"/>
        </w:rPr>
        <w:t xml:space="preserve"> відповідно</w:t>
      </w:r>
      <w:r w:rsidR="000B524A">
        <w:rPr>
          <w:rFonts w:ascii="Times New Roman" w:hAnsi="Times New Roman" w:cs="Times New Roman"/>
          <w:sz w:val="28"/>
          <w:szCs w:val="28"/>
        </w:rPr>
        <w:t>,</w:t>
      </w:r>
      <w:r w:rsidR="00B37FDB" w:rsidRPr="00B658B3">
        <w:rPr>
          <w:rFonts w:ascii="Times New Roman" w:hAnsi="Times New Roman" w:cs="Times New Roman"/>
          <w:sz w:val="28"/>
          <w:szCs w:val="28"/>
        </w:rPr>
        <w:t xml:space="preserve"> підтверджують</w:t>
      </w:r>
      <w:r w:rsidR="000B524A">
        <w:rPr>
          <w:rFonts w:ascii="Times New Roman" w:hAnsi="Times New Roman" w:cs="Times New Roman"/>
          <w:sz w:val="28"/>
          <w:szCs w:val="28"/>
        </w:rPr>
        <w:t xml:space="preserve"> гіпотезу про те</w:t>
      </w:r>
      <w:r w:rsidR="00B37FDB" w:rsidRPr="00B658B3">
        <w:rPr>
          <w:rFonts w:ascii="Times New Roman" w:hAnsi="Times New Roman" w:cs="Times New Roman"/>
          <w:sz w:val="28"/>
          <w:szCs w:val="28"/>
        </w:rPr>
        <w:t xml:space="preserve">, що підхід «один район, одна громада», є помилковим. </w:t>
      </w:r>
    </w:p>
    <w:p w14:paraId="6C05D65D" w14:textId="77777777" w:rsidR="00520014" w:rsidRPr="00B658B3" w:rsidRDefault="00520014" w:rsidP="003348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17EDBF5B" w14:textId="77777777" w:rsidR="003348D6" w:rsidRPr="00B658B3" w:rsidRDefault="003348D6" w:rsidP="003348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658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Список літератури</w:t>
      </w:r>
    </w:p>
    <w:p w14:paraId="6F66A67A" w14:textId="77777777" w:rsidR="00F07C58" w:rsidRPr="00B658B3" w:rsidRDefault="00F07C58" w:rsidP="00F07C58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658B3">
        <w:rPr>
          <w:sz w:val="28"/>
          <w:szCs w:val="28"/>
        </w:rPr>
        <w:t xml:space="preserve">Волинська область. Загальна інформація. </w:t>
      </w:r>
      <w:r w:rsidRPr="00B658B3">
        <w:rPr>
          <w:sz w:val="28"/>
          <w:szCs w:val="28"/>
          <w:lang w:val="en-US"/>
        </w:rPr>
        <w:t>URL</w:t>
      </w:r>
      <w:r w:rsidRPr="00B658B3">
        <w:rPr>
          <w:sz w:val="28"/>
          <w:szCs w:val="28"/>
        </w:rPr>
        <w:t xml:space="preserve">: </w:t>
      </w:r>
      <w:hyperlink r:id="rId14" w:history="1">
        <w:r w:rsidRPr="00B658B3">
          <w:rPr>
            <w:rStyle w:val="a7"/>
            <w:color w:val="auto"/>
            <w:sz w:val="28"/>
            <w:szCs w:val="28"/>
            <w:u w:val="none"/>
          </w:rPr>
          <w:t>https://decentralization.gov.ua/areas/0332</w:t>
        </w:r>
      </w:hyperlink>
    </w:p>
    <w:p w14:paraId="7359E342" w14:textId="77777777" w:rsidR="00585A72" w:rsidRPr="00B658B3" w:rsidRDefault="00585A72" w:rsidP="00585A72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658B3">
        <w:rPr>
          <w:sz w:val="28"/>
          <w:szCs w:val="28"/>
        </w:rPr>
        <w:t>Оцінка фінансових показників бюджетів 806 ОТГ. Рейтинг за 2019 рік</w:t>
      </w:r>
      <w:r w:rsidRPr="00B658B3">
        <w:rPr>
          <w:sz w:val="28"/>
          <w:szCs w:val="28"/>
          <w:lang w:val="ru-RU"/>
        </w:rPr>
        <w:t xml:space="preserve">/ </w:t>
      </w:r>
      <w:r w:rsidRPr="00B658B3">
        <w:rPr>
          <w:sz w:val="28"/>
          <w:szCs w:val="28"/>
          <w:lang w:val="en-US"/>
        </w:rPr>
        <w:t>URL</w:t>
      </w:r>
      <w:r w:rsidRPr="00B658B3">
        <w:rPr>
          <w:sz w:val="28"/>
          <w:szCs w:val="28"/>
        </w:rPr>
        <w:t xml:space="preserve">:// </w:t>
      </w:r>
      <w:hyperlink r:id="rId15" w:history="1">
        <w:r w:rsidRPr="00B658B3">
          <w:rPr>
            <w:rStyle w:val="a7"/>
            <w:color w:val="auto"/>
            <w:sz w:val="28"/>
            <w:szCs w:val="28"/>
            <w:u w:val="none"/>
          </w:rPr>
          <w:t>https://decentralization.gov.ua/news/12192</w:t>
        </w:r>
      </w:hyperlink>
      <w:r w:rsidRPr="00B658B3">
        <w:rPr>
          <w:sz w:val="28"/>
          <w:szCs w:val="28"/>
        </w:rPr>
        <w:t xml:space="preserve"> (дата звернення: 02.03.2020).</w:t>
      </w:r>
    </w:p>
    <w:p w14:paraId="4A321C67" w14:textId="131147F8" w:rsidR="00FD4A1F" w:rsidRPr="00B658B3" w:rsidRDefault="00AE2C75" w:rsidP="00FD4A1F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658B3">
        <w:rPr>
          <w:sz w:val="28"/>
          <w:szCs w:val="28"/>
        </w:rPr>
        <w:t>Рейтинг областей щодо формування ОТГ</w:t>
      </w:r>
      <w:r w:rsidR="00F179D5" w:rsidRPr="00B658B3">
        <w:rPr>
          <w:sz w:val="28"/>
          <w:szCs w:val="28"/>
        </w:rPr>
        <w:t>.</w:t>
      </w:r>
      <w:r w:rsidRPr="00B658B3">
        <w:rPr>
          <w:sz w:val="28"/>
          <w:szCs w:val="28"/>
        </w:rPr>
        <w:t xml:space="preserve"> </w:t>
      </w:r>
      <w:r w:rsidR="00F179D5" w:rsidRPr="00B658B3">
        <w:rPr>
          <w:sz w:val="28"/>
          <w:szCs w:val="28"/>
        </w:rPr>
        <w:t xml:space="preserve">Індикатор 3. </w:t>
      </w:r>
      <w:r w:rsidRPr="00B658B3">
        <w:rPr>
          <w:sz w:val="28"/>
          <w:szCs w:val="28"/>
        </w:rPr>
        <w:t>/  Моніторинг процесу децентралізації влади та реформування місцевого самоврядування станом на 10 січня 2020 року</w:t>
      </w:r>
      <w:r w:rsidR="00F179D5" w:rsidRPr="00B658B3">
        <w:rPr>
          <w:sz w:val="28"/>
          <w:szCs w:val="28"/>
        </w:rPr>
        <w:t>.</w:t>
      </w:r>
      <w:r w:rsidRPr="00B658B3">
        <w:rPr>
          <w:sz w:val="28"/>
          <w:szCs w:val="28"/>
        </w:rPr>
        <w:t xml:space="preserve"> </w:t>
      </w:r>
      <w:r w:rsidR="00F179D5" w:rsidRPr="00B658B3">
        <w:rPr>
          <w:sz w:val="28"/>
          <w:szCs w:val="28"/>
          <w:lang w:val="en-US"/>
        </w:rPr>
        <w:t>URL</w:t>
      </w:r>
      <w:proofErr w:type="gramStart"/>
      <w:r w:rsidR="00F179D5" w:rsidRPr="00B658B3">
        <w:rPr>
          <w:sz w:val="28"/>
          <w:szCs w:val="28"/>
        </w:rPr>
        <w:t>:</w:t>
      </w:r>
      <w:r w:rsidRPr="00B658B3">
        <w:rPr>
          <w:sz w:val="28"/>
          <w:szCs w:val="28"/>
        </w:rPr>
        <w:t>/</w:t>
      </w:r>
      <w:proofErr w:type="gramEnd"/>
      <w:r w:rsidRPr="00B658B3">
        <w:rPr>
          <w:sz w:val="28"/>
          <w:szCs w:val="28"/>
        </w:rPr>
        <w:t xml:space="preserve">/ </w:t>
      </w:r>
      <w:hyperlink r:id="rId16" w:history="1">
        <w:r w:rsidRPr="00B658B3">
          <w:rPr>
            <w:rStyle w:val="a7"/>
            <w:color w:val="auto"/>
            <w:sz w:val="28"/>
            <w:szCs w:val="28"/>
            <w:u w:val="none"/>
          </w:rPr>
          <w:t>https://decentralization.gov.ua/uploads/library/file/526/10.01.2020.pdf</w:t>
        </w:r>
      </w:hyperlink>
      <w:r w:rsidR="00F179D5" w:rsidRPr="00B658B3">
        <w:rPr>
          <w:rStyle w:val="a7"/>
          <w:color w:val="auto"/>
          <w:sz w:val="28"/>
          <w:szCs w:val="28"/>
          <w:u w:val="none"/>
        </w:rPr>
        <w:t xml:space="preserve"> </w:t>
      </w:r>
      <w:r w:rsidR="00F179D5" w:rsidRPr="00B658B3">
        <w:rPr>
          <w:sz w:val="28"/>
          <w:szCs w:val="28"/>
        </w:rPr>
        <w:t>(дата звернення: 06.</w:t>
      </w:r>
      <w:r w:rsidR="00CA41EE" w:rsidRPr="00B658B3">
        <w:rPr>
          <w:sz w:val="28"/>
          <w:szCs w:val="28"/>
        </w:rPr>
        <w:t>02.2020</w:t>
      </w:r>
      <w:r w:rsidR="00F179D5" w:rsidRPr="00B658B3">
        <w:rPr>
          <w:sz w:val="28"/>
          <w:szCs w:val="28"/>
        </w:rPr>
        <w:t>).</w:t>
      </w:r>
    </w:p>
    <w:p w14:paraId="2401DB52" w14:textId="77777777" w:rsidR="002F32A1" w:rsidRDefault="002F32A1" w:rsidP="00DE41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2F32A1" w:rsidSect="00585A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Ne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2223"/>
    <w:multiLevelType w:val="multilevel"/>
    <w:tmpl w:val="57083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E4A2F"/>
    <w:multiLevelType w:val="multilevel"/>
    <w:tmpl w:val="6DEA3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8C6509"/>
    <w:multiLevelType w:val="multilevel"/>
    <w:tmpl w:val="1F708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724458"/>
    <w:multiLevelType w:val="hybridMultilevel"/>
    <w:tmpl w:val="2C1E01A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B670E4C"/>
    <w:multiLevelType w:val="multilevel"/>
    <w:tmpl w:val="4E6E2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13455C"/>
    <w:multiLevelType w:val="hybridMultilevel"/>
    <w:tmpl w:val="1214F608"/>
    <w:lvl w:ilvl="0" w:tplc="8092D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AF"/>
    <w:rsid w:val="000471C9"/>
    <w:rsid w:val="00094933"/>
    <w:rsid w:val="000B524A"/>
    <w:rsid w:val="000C484C"/>
    <w:rsid w:val="000D2EF4"/>
    <w:rsid w:val="000E40D1"/>
    <w:rsid w:val="000E5C71"/>
    <w:rsid w:val="000F37FD"/>
    <w:rsid w:val="001269C7"/>
    <w:rsid w:val="00150235"/>
    <w:rsid w:val="00165768"/>
    <w:rsid w:val="0016704C"/>
    <w:rsid w:val="00183543"/>
    <w:rsid w:val="00187171"/>
    <w:rsid w:val="001913A0"/>
    <w:rsid w:val="0019372E"/>
    <w:rsid w:val="001A74B3"/>
    <w:rsid w:val="001C5AE5"/>
    <w:rsid w:val="00234ADF"/>
    <w:rsid w:val="00245D3B"/>
    <w:rsid w:val="00246F8E"/>
    <w:rsid w:val="00262477"/>
    <w:rsid w:val="002857D5"/>
    <w:rsid w:val="00286ACB"/>
    <w:rsid w:val="002A3671"/>
    <w:rsid w:val="002C4ECB"/>
    <w:rsid w:val="002C569D"/>
    <w:rsid w:val="002F32A1"/>
    <w:rsid w:val="0031461E"/>
    <w:rsid w:val="003348D6"/>
    <w:rsid w:val="00335B95"/>
    <w:rsid w:val="003A0D7D"/>
    <w:rsid w:val="003F3303"/>
    <w:rsid w:val="004169E2"/>
    <w:rsid w:val="00424EFB"/>
    <w:rsid w:val="00435CFB"/>
    <w:rsid w:val="0049521E"/>
    <w:rsid w:val="004B0F0E"/>
    <w:rsid w:val="004D7D9C"/>
    <w:rsid w:val="005117E6"/>
    <w:rsid w:val="005157AF"/>
    <w:rsid w:val="00520014"/>
    <w:rsid w:val="005437B9"/>
    <w:rsid w:val="00555174"/>
    <w:rsid w:val="00565629"/>
    <w:rsid w:val="005703EE"/>
    <w:rsid w:val="00585A72"/>
    <w:rsid w:val="005A7EC6"/>
    <w:rsid w:val="00603ED8"/>
    <w:rsid w:val="00622658"/>
    <w:rsid w:val="006300C4"/>
    <w:rsid w:val="00640440"/>
    <w:rsid w:val="00670914"/>
    <w:rsid w:val="00671DC7"/>
    <w:rsid w:val="006B3A66"/>
    <w:rsid w:val="0072329F"/>
    <w:rsid w:val="0072477B"/>
    <w:rsid w:val="00747DEF"/>
    <w:rsid w:val="007967EB"/>
    <w:rsid w:val="007B3D4A"/>
    <w:rsid w:val="007D626B"/>
    <w:rsid w:val="007F3ACE"/>
    <w:rsid w:val="008158BA"/>
    <w:rsid w:val="00840696"/>
    <w:rsid w:val="008630BB"/>
    <w:rsid w:val="0088497E"/>
    <w:rsid w:val="00885E62"/>
    <w:rsid w:val="00886AA9"/>
    <w:rsid w:val="00897344"/>
    <w:rsid w:val="008C096D"/>
    <w:rsid w:val="008C29CE"/>
    <w:rsid w:val="008D5078"/>
    <w:rsid w:val="008E5F5C"/>
    <w:rsid w:val="009167FF"/>
    <w:rsid w:val="00935E0E"/>
    <w:rsid w:val="009479D9"/>
    <w:rsid w:val="00952DB7"/>
    <w:rsid w:val="00996D79"/>
    <w:rsid w:val="009A6EF7"/>
    <w:rsid w:val="009E4D6D"/>
    <w:rsid w:val="00A42ECE"/>
    <w:rsid w:val="00A6275D"/>
    <w:rsid w:val="00A86447"/>
    <w:rsid w:val="00AB1610"/>
    <w:rsid w:val="00AB3E04"/>
    <w:rsid w:val="00AB43B4"/>
    <w:rsid w:val="00AD02B5"/>
    <w:rsid w:val="00AE2AE7"/>
    <w:rsid w:val="00AE2C75"/>
    <w:rsid w:val="00B37FDB"/>
    <w:rsid w:val="00B658B3"/>
    <w:rsid w:val="00B721A4"/>
    <w:rsid w:val="00B740A9"/>
    <w:rsid w:val="00B81D12"/>
    <w:rsid w:val="00B845BB"/>
    <w:rsid w:val="00BA7FDC"/>
    <w:rsid w:val="00BC63CA"/>
    <w:rsid w:val="00BD2567"/>
    <w:rsid w:val="00C119DE"/>
    <w:rsid w:val="00C244BC"/>
    <w:rsid w:val="00C528C1"/>
    <w:rsid w:val="00C677FE"/>
    <w:rsid w:val="00C80460"/>
    <w:rsid w:val="00CA41EE"/>
    <w:rsid w:val="00CC4981"/>
    <w:rsid w:val="00D05AAE"/>
    <w:rsid w:val="00D26F51"/>
    <w:rsid w:val="00D766B8"/>
    <w:rsid w:val="00DA256B"/>
    <w:rsid w:val="00DA5B4A"/>
    <w:rsid w:val="00DC2DF6"/>
    <w:rsid w:val="00DC740A"/>
    <w:rsid w:val="00DD677D"/>
    <w:rsid w:val="00DE41FF"/>
    <w:rsid w:val="00DE482B"/>
    <w:rsid w:val="00E03C12"/>
    <w:rsid w:val="00E15162"/>
    <w:rsid w:val="00E42BD9"/>
    <w:rsid w:val="00E53FAA"/>
    <w:rsid w:val="00EB2A8A"/>
    <w:rsid w:val="00ED1EA1"/>
    <w:rsid w:val="00EE7262"/>
    <w:rsid w:val="00F00299"/>
    <w:rsid w:val="00F07C58"/>
    <w:rsid w:val="00F16ABA"/>
    <w:rsid w:val="00F179D5"/>
    <w:rsid w:val="00F26B78"/>
    <w:rsid w:val="00FA1DC4"/>
    <w:rsid w:val="00FC6FE8"/>
    <w:rsid w:val="00FD4A1F"/>
    <w:rsid w:val="00FE06FF"/>
    <w:rsid w:val="00FF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FB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FF"/>
    <w:pPr>
      <w:spacing w:after="200" w:line="276" w:lineRule="auto"/>
    </w:pPr>
    <w:rPr>
      <w:rFonts w:eastAsiaTheme="minorEastAsia"/>
      <w:lang w:eastAsia="uk-UA"/>
    </w:rPr>
  </w:style>
  <w:style w:type="paragraph" w:styleId="2">
    <w:name w:val="heading 2"/>
    <w:basedOn w:val="a"/>
    <w:link w:val="20"/>
    <w:uiPriority w:val="9"/>
    <w:qFormat/>
    <w:rsid w:val="00FD4A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1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DE4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Strong"/>
    <w:uiPriority w:val="22"/>
    <w:qFormat/>
    <w:rsid w:val="00DE41FF"/>
    <w:rPr>
      <w:b/>
      <w:bCs/>
    </w:rPr>
  </w:style>
  <w:style w:type="table" w:styleId="a6">
    <w:name w:val="Table Grid"/>
    <w:basedOn w:val="a1"/>
    <w:uiPriority w:val="59"/>
    <w:rsid w:val="00DE4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0"/>
    <w:rsid w:val="00DE41FF"/>
  </w:style>
  <w:style w:type="character" w:styleId="a7">
    <w:name w:val="Hyperlink"/>
    <w:basedOn w:val="a0"/>
    <w:uiPriority w:val="99"/>
    <w:unhideWhenUsed/>
    <w:rsid w:val="00DE41FF"/>
    <w:rPr>
      <w:color w:val="0563C1" w:themeColor="hyperlink"/>
      <w:u w:val="single"/>
    </w:rPr>
  </w:style>
  <w:style w:type="character" w:styleId="a8">
    <w:name w:val="Emphasis"/>
    <w:uiPriority w:val="20"/>
    <w:qFormat/>
    <w:rsid w:val="00DE41FF"/>
    <w:rPr>
      <w:i/>
      <w:iCs/>
    </w:rPr>
  </w:style>
  <w:style w:type="character" w:customStyle="1" w:styleId="58cm">
    <w:name w:val="_58cm"/>
    <w:rsid w:val="00DE41FF"/>
  </w:style>
  <w:style w:type="paragraph" w:styleId="a9">
    <w:name w:val="Title"/>
    <w:basedOn w:val="a"/>
    <w:link w:val="aa"/>
    <w:qFormat/>
    <w:rsid w:val="00FF091A"/>
    <w:pPr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aa">
    <w:name w:val="Название Знак"/>
    <w:basedOn w:val="a0"/>
    <w:link w:val="a9"/>
    <w:rsid w:val="00FF091A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b">
    <w:name w:val="Balloon Text"/>
    <w:basedOn w:val="a"/>
    <w:link w:val="ac"/>
    <w:uiPriority w:val="99"/>
    <w:semiHidden/>
    <w:unhideWhenUsed/>
    <w:rsid w:val="00334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48D6"/>
    <w:rPr>
      <w:rFonts w:ascii="Tahoma" w:eastAsiaTheme="minorEastAsia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FD4A1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FF"/>
    <w:pPr>
      <w:spacing w:after="200" w:line="276" w:lineRule="auto"/>
    </w:pPr>
    <w:rPr>
      <w:rFonts w:eastAsiaTheme="minorEastAsia"/>
      <w:lang w:eastAsia="uk-UA"/>
    </w:rPr>
  </w:style>
  <w:style w:type="paragraph" w:styleId="2">
    <w:name w:val="heading 2"/>
    <w:basedOn w:val="a"/>
    <w:link w:val="20"/>
    <w:uiPriority w:val="9"/>
    <w:qFormat/>
    <w:rsid w:val="00FD4A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1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DE4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Strong"/>
    <w:uiPriority w:val="22"/>
    <w:qFormat/>
    <w:rsid w:val="00DE41FF"/>
    <w:rPr>
      <w:b/>
      <w:bCs/>
    </w:rPr>
  </w:style>
  <w:style w:type="table" w:styleId="a6">
    <w:name w:val="Table Grid"/>
    <w:basedOn w:val="a1"/>
    <w:uiPriority w:val="59"/>
    <w:rsid w:val="00DE4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0"/>
    <w:rsid w:val="00DE41FF"/>
  </w:style>
  <w:style w:type="character" w:styleId="a7">
    <w:name w:val="Hyperlink"/>
    <w:basedOn w:val="a0"/>
    <w:uiPriority w:val="99"/>
    <w:unhideWhenUsed/>
    <w:rsid w:val="00DE41FF"/>
    <w:rPr>
      <w:color w:val="0563C1" w:themeColor="hyperlink"/>
      <w:u w:val="single"/>
    </w:rPr>
  </w:style>
  <w:style w:type="character" w:styleId="a8">
    <w:name w:val="Emphasis"/>
    <w:uiPriority w:val="20"/>
    <w:qFormat/>
    <w:rsid w:val="00DE41FF"/>
    <w:rPr>
      <w:i/>
      <w:iCs/>
    </w:rPr>
  </w:style>
  <w:style w:type="character" w:customStyle="1" w:styleId="58cm">
    <w:name w:val="_58cm"/>
    <w:rsid w:val="00DE41FF"/>
  </w:style>
  <w:style w:type="paragraph" w:styleId="a9">
    <w:name w:val="Title"/>
    <w:basedOn w:val="a"/>
    <w:link w:val="aa"/>
    <w:qFormat/>
    <w:rsid w:val="00FF091A"/>
    <w:pPr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aa">
    <w:name w:val="Название Знак"/>
    <w:basedOn w:val="a0"/>
    <w:link w:val="a9"/>
    <w:rsid w:val="00FF091A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b">
    <w:name w:val="Balloon Text"/>
    <w:basedOn w:val="a"/>
    <w:link w:val="ac"/>
    <w:uiPriority w:val="99"/>
    <w:semiHidden/>
    <w:unhideWhenUsed/>
    <w:rsid w:val="00334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48D6"/>
    <w:rPr>
      <w:rFonts w:ascii="Tahoma" w:eastAsiaTheme="minorEastAsia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FD4A1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kurent.in.ua/news/luck/24253/prilucke-znovu-hoche-yednatisya-iz-luckom.html" TargetMode="External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konkurent.in.ua/publication/19155/golova-priluckogo-naklav-veto-na-obyednannya-iz-luckom/" TargetMode="Externa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ecentralization.gov.ua/uploads/library/file/526/10.01.202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onkurent.in.ua/news/luck/18983/prilucka-silrada-progolosuvala-za-obyednannya-z-luckom.html" TargetMode="External"/><Relationship Id="rId11" Type="http://schemas.openxmlformats.org/officeDocument/2006/relationships/hyperlink" Target="https://www.volynnews.com/news/policy/vybory-v-dorosynivskiy-oth-na-volyni-khto-stav-holovoiu-oth-ta-deput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ecentralization.gov.ua/news/12192" TargetMode="External"/><Relationship Id="rId10" Type="http://schemas.openxmlformats.org/officeDocument/2006/relationships/hyperlink" Target="https://www.volynnews.com/news/all/sohodni-vybory-u-shesty-hromadakh-volyn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nkurent.in.ua/publication/24434/golova-priluckoyi-silradi-zupiniv-obyednannya-z-luckom-/" TargetMode="External"/><Relationship Id="rId14" Type="http://schemas.openxmlformats.org/officeDocument/2006/relationships/hyperlink" Target="https://decentralization.gov.ua/areas/0332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362536698722937"/>
          <c:y val="6.389888763904511E-2"/>
          <c:w val="0.73579616777151868"/>
          <c:h val="0.8565310586176727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15</c:v>
                </c:pt>
                <c:pt idx="2">
                  <c:v>40</c:v>
                </c:pt>
                <c:pt idx="3">
                  <c:v>50</c:v>
                </c:pt>
                <c:pt idx="4">
                  <c:v>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D47-474D-8B24-AA4BA9BB9E2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D47-474D-8B24-AA4BA9BB9E2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D47-474D-8B24-AA4BA9BB9E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613094144"/>
        <c:axId val="613095680"/>
      </c:barChart>
      <c:catAx>
        <c:axId val="613094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613095680"/>
        <c:crosses val="autoZero"/>
        <c:auto val="1"/>
        <c:lblAlgn val="ctr"/>
        <c:lblOffset val="100"/>
        <c:noMultiLvlLbl val="0"/>
      </c:catAx>
      <c:valAx>
        <c:axId val="61309568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130941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solidFill>
                <a:schemeClr val="accent2"/>
              </a:solidFill>
            </c:spPr>
            <c:txPr>
              <a:bodyPr/>
              <a:lstStyle/>
              <a:p>
                <a:pPr>
                  <a:defRPr sz="1400" b="0" cap="none" spc="0">
                    <a:ln w="9207" cmpd="sng">
                      <a:solidFill>
                        <a:srgbClr val="FFFFFF"/>
                      </a:solidFill>
                      <a:prstDash val="solid"/>
                    </a:ln>
                    <a:solidFill>
                      <a:srgbClr val="FFFFFF"/>
                    </a:solidFill>
                    <a:effectLst>
                      <a:outerShdw blurRad="63500" dir="3600000" algn="tl" rotWithShape="0">
                        <a:srgbClr val="000000">
                          <a:alpha val="70000"/>
                        </a:srgbClr>
                      </a:outerShdw>
                    </a:effectLst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15</c:v>
                </c:pt>
                <c:pt idx="2">
                  <c:v>40</c:v>
                </c:pt>
                <c:pt idx="3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D47-474D-8B24-AA4BA9BB9E2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D47-474D-8B24-AA4BA9BB9E2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D47-474D-8B24-AA4BA9BB9E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13539840"/>
        <c:axId val="613541376"/>
      </c:barChart>
      <c:catAx>
        <c:axId val="613539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13541376"/>
        <c:crosses val="autoZero"/>
        <c:auto val="1"/>
        <c:lblAlgn val="ctr"/>
        <c:lblOffset val="100"/>
        <c:noMultiLvlLbl val="0"/>
      </c:catAx>
      <c:valAx>
        <c:axId val="613541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135398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0.22332</cdr:x>
      <cdr:y>0.71429</cdr:y>
    </cdr:from>
    <cdr:to>
      <cdr:x>0.41304</cdr:x>
      <cdr:y>1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1076325" y="280987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uk-UA" sz="1100"/>
        </a:p>
      </cdr:txBody>
    </cdr:sp>
  </cdr:relSizeAnchor>
  <cdr:relSizeAnchor xmlns:cdr="http://schemas.openxmlformats.org/drawingml/2006/chartDrawing">
    <cdr:from>
      <cdr:x>0.73754</cdr:x>
      <cdr:y>0.36012</cdr:y>
    </cdr:from>
    <cdr:to>
      <cdr:x>0.83478</cdr:x>
      <cdr:y>0.49107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4229091" y="1351476"/>
          <a:ext cx="557594" cy="491436"/>
        </a:xfrm>
        <a:prstGeom xmlns:a="http://schemas.openxmlformats.org/drawingml/2006/main" prst="rect">
          <a:avLst/>
        </a:prstGeom>
        <a:solidFill xmlns:a="http://schemas.openxmlformats.org/drawingml/2006/main">
          <a:srgbClr val="FFFF00"/>
        </a:solidFill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uk-UA" sz="2800" b="1">
              <a:solidFill>
                <a:schemeClr val="tx1"/>
              </a:solidFill>
            </a:rPr>
            <a:t>54</a:t>
          </a:r>
        </a:p>
      </cdr:txBody>
    </cdr:sp>
  </cdr:relSizeAnchor>
  <cdr:relSizeAnchor xmlns:cdr="http://schemas.openxmlformats.org/drawingml/2006/chartDrawing">
    <cdr:from>
      <cdr:x>0.45652</cdr:x>
      <cdr:y>0.71429</cdr:y>
    </cdr:from>
    <cdr:to>
      <cdr:x>0.55731</cdr:x>
      <cdr:y>1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2200274" y="2286000"/>
          <a:ext cx="485775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uk-UA" sz="1100"/>
        </a:p>
      </cdr:txBody>
    </cdr:sp>
  </cdr:relSizeAnchor>
  <cdr:relSizeAnchor xmlns:cdr="http://schemas.openxmlformats.org/drawingml/2006/chartDrawing">
    <cdr:from>
      <cdr:x>0.59468</cdr:x>
      <cdr:y>0.38988</cdr:y>
    </cdr:from>
    <cdr:to>
      <cdr:x>0.78854</cdr:x>
      <cdr:y>0.6756</cdr:y>
    </cdr:to>
    <cdr:sp macro="" textlink="">
      <cdr:nvSpPr>
        <cdr:cNvPr id="6" name="Поле 5"/>
        <cdr:cNvSpPr txBox="1"/>
      </cdr:nvSpPr>
      <cdr:spPr>
        <a:xfrm xmlns:a="http://schemas.openxmlformats.org/drawingml/2006/main">
          <a:off x="3409950" y="1463161"/>
          <a:ext cx="1111578" cy="107226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uk-UA" sz="1100"/>
        </a:p>
      </cdr:txBody>
    </cdr:sp>
  </cdr:relSizeAnchor>
  <cdr:relSizeAnchor xmlns:cdr="http://schemas.openxmlformats.org/drawingml/2006/chartDrawing">
    <cdr:from>
      <cdr:x>0.59211</cdr:x>
      <cdr:y>0.47321</cdr:y>
    </cdr:from>
    <cdr:to>
      <cdr:x>0.68771</cdr:x>
      <cdr:y>0.61012</cdr:y>
    </cdr:to>
    <cdr:sp macro="" textlink="">
      <cdr:nvSpPr>
        <cdr:cNvPr id="7" name="Поле 6"/>
        <cdr:cNvSpPr txBox="1"/>
      </cdr:nvSpPr>
      <cdr:spPr>
        <a:xfrm xmlns:a="http://schemas.openxmlformats.org/drawingml/2006/main">
          <a:off x="3395206" y="1775886"/>
          <a:ext cx="548157" cy="513803"/>
        </a:xfrm>
        <a:prstGeom xmlns:a="http://schemas.openxmlformats.org/drawingml/2006/main" prst="rect">
          <a:avLst/>
        </a:prstGeom>
        <a:solidFill xmlns:a="http://schemas.openxmlformats.org/drawingml/2006/main">
          <a:srgbClr val="FFFF00"/>
        </a:solidFill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uk-UA" sz="2400" b="1"/>
            <a:t>50</a:t>
          </a:r>
        </a:p>
      </cdr:txBody>
    </cdr:sp>
  </cdr:relSizeAnchor>
  <cdr:relSizeAnchor xmlns:cdr="http://schemas.openxmlformats.org/drawingml/2006/chartDrawing">
    <cdr:from>
      <cdr:x>0.44094</cdr:x>
      <cdr:y>0.55865</cdr:y>
    </cdr:from>
    <cdr:to>
      <cdr:x>0.53942</cdr:x>
      <cdr:y>0.69258</cdr:y>
    </cdr:to>
    <cdr:sp macro="" textlink="">
      <cdr:nvSpPr>
        <cdr:cNvPr id="8" name="Поле 7"/>
        <cdr:cNvSpPr txBox="1"/>
      </cdr:nvSpPr>
      <cdr:spPr>
        <a:xfrm xmlns:a="http://schemas.openxmlformats.org/drawingml/2006/main">
          <a:off x="2528372" y="2096530"/>
          <a:ext cx="564685" cy="502619"/>
        </a:xfrm>
        <a:prstGeom xmlns:a="http://schemas.openxmlformats.org/drawingml/2006/main" prst="rect">
          <a:avLst/>
        </a:prstGeom>
        <a:solidFill xmlns:a="http://schemas.openxmlformats.org/drawingml/2006/main">
          <a:srgbClr val="FFFF00"/>
        </a:solidFill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uk-UA" sz="2200" b="1"/>
            <a:t> 40</a:t>
          </a:r>
        </a:p>
      </cdr:txBody>
    </cdr:sp>
  </cdr:relSizeAnchor>
  <cdr:relSizeAnchor xmlns:cdr="http://schemas.openxmlformats.org/drawingml/2006/chartDrawing">
    <cdr:from>
      <cdr:x>0.29833</cdr:x>
      <cdr:y>0.74694</cdr:y>
    </cdr:from>
    <cdr:to>
      <cdr:x>0.39382</cdr:x>
      <cdr:y>0.85279</cdr:y>
    </cdr:to>
    <cdr:sp macro="" textlink="">
      <cdr:nvSpPr>
        <cdr:cNvPr id="9" name="Поле 8"/>
        <cdr:cNvSpPr txBox="1"/>
      </cdr:nvSpPr>
      <cdr:spPr>
        <a:xfrm xmlns:a="http://schemas.openxmlformats.org/drawingml/2006/main">
          <a:off x="1710638" y="2803154"/>
          <a:ext cx="547531" cy="397239"/>
        </a:xfrm>
        <a:prstGeom xmlns:a="http://schemas.openxmlformats.org/drawingml/2006/main" prst="rect">
          <a:avLst/>
        </a:prstGeom>
        <a:solidFill xmlns:a="http://schemas.openxmlformats.org/drawingml/2006/main">
          <a:srgbClr val="FFFF00"/>
        </a:solidFill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uk-UA" sz="1800" b="1"/>
            <a:t> 15</a:t>
          </a:r>
        </a:p>
      </cdr:txBody>
    </cdr:sp>
  </cdr:relSizeAnchor>
  <cdr:relSizeAnchor xmlns:cdr="http://schemas.openxmlformats.org/drawingml/2006/chartDrawing">
    <cdr:from>
      <cdr:x>0.17245</cdr:x>
      <cdr:y>0.85173</cdr:y>
    </cdr:from>
    <cdr:to>
      <cdr:x>0.22425</cdr:x>
      <cdr:y>0.92801</cdr:y>
    </cdr:to>
    <cdr:sp macro="" textlink="">
      <cdr:nvSpPr>
        <cdr:cNvPr id="10" name="Поле 9"/>
        <cdr:cNvSpPr txBox="1"/>
      </cdr:nvSpPr>
      <cdr:spPr>
        <a:xfrm xmlns:a="http://schemas.openxmlformats.org/drawingml/2006/main">
          <a:off x="988837" y="3196425"/>
          <a:ext cx="297024" cy="286246"/>
        </a:xfrm>
        <a:prstGeom xmlns:a="http://schemas.openxmlformats.org/drawingml/2006/main" prst="rect">
          <a:avLst/>
        </a:prstGeom>
        <a:solidFill xmlns:a="http://schemas.openxmlformats.org/drawingml/2006/main">
          <a:srgbClr val="FFFF00"/>
        </a:solidFill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uk-UA" sz="1400" b="1"/>
            <a:t>5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11</Pages>
  <Words>12045</Words>
  <Characters>6866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41</cp:revision>
  <cp:lastPrinted>2019-03-16T10:36:00Z</cp:lastPrinted>
  <dcterms:created xsi:type="dcterms:W3CDTF">2019-04-18T15:40:00Z</dcterms:created>
  <dcterms:modified xsi:type="dcterms:W3CDTF">2020-03-19T13:18:00Z</dcterms:modified>
</cp:coreProperties>
</file>