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64" w:rsidRDefault="00373D64" w:rsidP="00373D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2263C3">
        <w:rPr>
          <w:rFonts w:ascii="Times New Roman" w:hAnsi="Times New Roman" w:cs="Times New Roman"/>
          <w:bCs/>
          <w:color w:val="000000"/>
        </w:rPr>
        <w:t>Секція</w:t>
      </w:r>
      <w:r w:rsidRPr="00FF122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6 Бізнес-аналітика: моделі¸ інструменти та технології</w:t>
      </w:r>
    </w:p>
    <w:p w:rsidR="00316B9E" w:rsidRPr="00316B9E" w:rsidRDefault="00316B9E" w:rsidP="00316B9E">
      <w:pPr>
        <w:pStyle w:val="ae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16B9E">
        <w:rPr>
          <w:rFonts w:ascii="Times New Roman" w:hAnsi="Times New Roman" w:cs="Times New Roman"/>
          <w:b/>
          <w:bCs/>
          <w:i/>
          <w:color w:val="000000"/>
        </w:rPr>
        <w:t xml:space="preserve">Талах </w:t>
      </w:r>
      <w:r w:rsidRPr="00316B9E">
        <w:rPr>
          <w:rFonts w:ascii="Times New Roman" w:hAnsi="Times New Roman" w:cs="Times New Roman"/>
          <w:b/>
          <w:bCs/>
          <w:i/>
          <w:color w:val="000000"/>
        </w:rPr>
        <w:t>Т.А.</w:t>
      </w:r>
      <w:r w:rsidRPr="00316B9E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316B9E">
        <w:rPr>
          <w:rFonts w:ascii="Times New Roman" w:hAnsi="Times New Roman" w:cs="Times New Roman"/>
          <w:bCs/>
          <w:i/>
          <w:color w:val="000000"/>
        </w:rPr>
        <w:t>к.е.н</w:t>
      </w:r>
      <w:proofErr w:type="spellEnd"/>
      <w:r w:rsidRPr="00316B9E">
        <w:rPr>
          <w:rFonts w:ascii="Times New Roman" w:hAnsi="Times New Roman" w:cs="Times New Roman"/>
          <w:bCs/>
          <w:i/>
          <w:color w:val="000000"/>
        </w:rPr>
        <w:t>., доцент</w:t>
      </w:r>
      <w:r w:rsidRPr="00316B9E">
        <w:rPr>
          <w:rFonts w:ascii="Times New Roman" w:hAnsi="Times New Roman" w:cs="Times New Roman"/>
          <w:i/>
          <w:color w:val="000000"/>
        </w:rPr>
        <w:t>,</w:t>
      </w:r>
      <w:r w:rsidRPr="00316B9E">
        <w:rPr>
          <w:rFonts w:ascii="Times New Roman" w:hAnsi="Times New Roman" w:cs="Times New Roman"/>
          <w:color w:val="000000"/>
        </w:rPr>
        <w:t xml:space="preserve"> </w:t>
      </w:r>
    </w:p>
    <w:p w:rsidR="00316B9E" w:rsidRPr="00316B9E" w:rsidRDefault="00316B9E" w:rsidP="00316B9E">
      <w:pPr>
        <w:pStyle w:val="ae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i/>
          <w:color w:val="000000"/>
        </w:rPr>
      </w:pPr>
      <w:proofErr w:type="spellStart"/>
      <w:r w:rsidRPr="00316B9E">
        <w:rPr>
          <w:rFonts w:ascii="Times New Roman" w:hAnsi="Times New Roman" w:cs="Times New Roman"/>
          <w:i/>
          <w:color w:val="000000"/>
        </w:rPr>
        <w:t>Лyцький</w:t>
      </w:r>
      <w:proofErr w:type="spellEnd"/>
      <w:r w:rsidRPr="00316B9E">
        <w:rPr>
          <w:rFonts w:ascii="Times New Roman" w:hAnsi="Times New Roman" w:cs="Times New Roman"/>
          <w:i/>
          <w:color w:val="000000"/>
        </w:rPr>
        <w:t xml:space="preserve"> національний технічний університет</w:t>
      </w:r>
    </w:p>
    <w:p w:rsidR="00316B9E" w:rsidRPr="00316B9E" w:rsidRDefault="00316B9E" w:rsidP="00316B9E">
      <w:pPr>
        <w:pStyle w:val="ae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i/>
        </w:rPr>
      </w:pPr>
      <w:r w:rsidRPr="00316B9E">
        <w:rPr>
          <w:rFonts w:ascii="Times New Roman" w:hAnsi="Times New Roman" w:cs="Times New Roman"/>
          <w:i/>
          <w:color w:val="000000"/>
        </w:rPr>
        <w:t>м. Луцьк</w:t>
      </w:r>
    </w:p>
    <w:p w:rsidR="00316B9E" w:rsidRPr="00316B9E" w:rsidRDefault="00316B9E" w:rsidP="00316B9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</w:p>
    <w:p w:rsidR="00316B9E" w:rsidRPr="00316B9E" w:rsidRDefault="00316B9E" w:rsidP="00316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9E">
        <w:rPr>
          <w:rFonts w:ascii="Times New Roman" w:hAnsi="Times New Roman" w:cs="Times New Roman"/>
          <w:b/>
          <w:sz w:val="24"/>
          <w:szCs w:val="24"/>
        </w:rPr>
        <w:t>СТРАТЕГІЯ ЗАПОБІГАННЯ БАНКРУТСТВУ ПІДПРИЄМСТВ ЯК ФАКТОР СТІЙКОГО ФІНАНСОВОГО СТАНУ</w:t>
      </w:r>
    </w:p>
    <w:p w:rsidR="00316B9E" w:rsidRPr="00316B9E" w:rsidRDefault="00316B9E" w:rsidP="00316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B9E" w:rsidRPr="009616D7" w:rsidRDefault="00316B9E" w:rsidP="00316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B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7890B" wp14:editId="21312A9D">
                <wp:simplePos x="0" y="0"/>
                <wp:positionH relativeFrom="column">
                  <wp:posOffset>5795010</wp:posOffset>
                </wp:positionH>
                <wp:positionV relativeFrom="paragraph">
                  <wp:posOffset>-1623060</wp:posOffset>
                </wp:positionV>
                <wp:extent cx="781050" cy="41910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9E" w:rsidRDefault="00316B9E" w:rsidP="00316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7890B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456.3pt;margin-top:-127.8pt;width:6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" stroked="f">
                <v:textbox>
                  <w:txbxContent>
                    <w:p w:rsidR="00316B9E" w:rsidRDefault="00316B9E" w:rsidP="00316B9E"/>
                  </w:txbxContent>
                </v:textbox>
              </v:shape>
            </w:pict>
          </mc:Fallback>
        </mc:AlternateContent>
      </w:r>
      <w:r w:rsidRPr="00316B9E">
        <w:rPr>
          <w:rFonts w:ascii="Times New Roman" w:hAnsi="Times New Roman" w:cs="Times New Roman"/>
          <w:sz w:val="24"/>
          <w:szCs w:val="24"/>
        </w:rPr>
        <w:t>Недосконалість законодавства, тіньова економіка, низька продуктивність праці та ділової активності є сучасною особливістю трансформаційної економіки для багатьох українських підприємств, що  стало причиною кризового стану, кінцевою формою якого є банкрутство. Спеціалісти українського Агентства з питань запобігання банкрутству підприємств та організацій вважають, що «не завжди доцільно застосовувати процедуру банкрутства. Адже є стратегічно важливі підприємства із діючим обладнанням, які можуть продати частину машин та устаткування, погасити борги</w:t>
      </w:r>
      <w:r w:rsidRPr="009616D7">
        <w:rPr>
          <w:rFonts w:ascii="Times New Roman" w:hAnsi="Times New Roman" w:cs="Times New Roman"/>
          <w:sz w:val="24"/>
          <w:szCs w:val="24"/>
        </w:rPr>
        <w:t>» [</w:t>
      </w:r>
      <w:r w:rsidR="009616D7" w:rsidRPr="009616D7">
        <w:rPr>
          <w:rFonts w:ascii="Times New Roman" w:hAnsi="Times New Roman" w:cs="Times New Roman"/>
          <w:sz w:val="24"/>
          <w:szCs w:val="24"/>
        </w:rPr>
        <w:t>1</w:t>
      </w:r>
      <w:r w:rsidRPr="009616D7">
        <w:rPr>
          <w:rFonts w:ascii="Times New Roman" w:hAnsi="Times New Roman" w:cs="Times New Roman"/>
          <w:sz w:val="24"/>
          <w:szCs w:val="24"/>
        </w:rPr>
        <w:t>]. Тому моніторинг рівня ймовірності банкрутства – це запорука стійкості фінансового стану підприємства.</w:t>
      </w:r>
    </w:p>
    <w:p w:rsidR="00316B9E" w:rsidRPr="00316B9E" w:rsidRDefault="00316B9E" w:rsidP="00316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7">
        <w:rPr>
          <w:rFonts w:ascii="Times New Roman" w:hAnsi="Times New Roman" w:cs="Times New Roman"/>
          <w:sz w:val="24"/>
          <w:szCs w:val="24"/>
        </w:rPr>
        <w:t>Згідно з українським законодавством «банкрутство є визнаною господарським судом неспроможністю боржника відновити свою платоспроможність і задовольнити визнані судом вимоги кредиторів не інакше як через застосування ліквідаційної процедури» [</w:t>
      </w:r>
      <w:r w:rsidR="009616D7" w:rsidRPr="009616D7">
        <w:rPr>
          <w:rFonts w:ascii="Times New Roman" w:hAnsi="Times New Roman" w:cs="Times New Roman"/>
          <w:sz w:val="24"/>
          <w:szCs w:val="24"/>
        </w:rPr>
        <w:t>1</w:t>
      </w:r>
      <w:r w:rsidRPr="009616D7">
        <w:rPr>
          <w:rFonts w:ascii="Times New Roman" w:hAnsi="Times New Roman" w:cs="Times New Roman"/>
          <w:sz w:val="24"/>
          <w:szCs w:val="24"/>
        </w:rPr>
        <w:t>]. Таким чином, банкрутство підприємства настає внаслідок його неплатоспроможності. Тому, аналізуючи проблему запобігання ймовірного банкрутства</w:t>
      </w:r>
      <w:r w:rsidRPr="00316B9E">
        <w:rPr>
          <w:rFonts w:ascii="Times New Roman" w:hAnsi="Times New Roman" w:cs="Times New Roman"/>
          <w:sz w:val="24"/>
          <w:szCs w:val="24"/>
        </w:rPr>
        <w:t>, слід говорити про превентивні механізми запобігання банкрутству</w:t>
      </w:r>
      <w:r w:rsidR="009616D7">
        <w:rPr>
          <w:rFonts w:ascii="Times New Roman" w:hAnsi="Times New Roman" w:cs="Times New Roman"/>
          <w:sz w:val="24"/>
          <w:szCs w:val="24"/>
        </w:rPr>
        <w:t xml:space="preserve">, </w:t>
      </w:r>
      <w:r w:rsidRPr="00316B9E">
        <w:rPr>
          <w:rFonts w:ascii="Times New Roman" w:hAnsi="Times New Roman" w:cs="Times New Roman"/>
          <w:sz w:val="24"/>
          <w:szCs w:val="24"/>
        </w:rPr>
        <w:t xml:space="preserve">спрямованих на фінансове оздоровлення підприємства-боржника до моменту подання в </w:t>
      </w:r>
      <w:r w:rsidRPr="00316B9E">
        <w:rPr>
          <w:rFonts w:ascii="Times New Roman" w:hAnsi="Times New Roman" w:cs="Times New Roman"/>
          <w:sz w:val="24"/>
          <w:szCs w:val="24"/>
        </w:rPr>
        <w:lastRenderedPageBreak/>
        <w:t>господарський суд заяви про визнання боржника банкрутом та після порушення судом справи про банкрутство, але до винесення ним остаточного рішення.</w:t>
      </w:r>
    </w:p>
    <w:p w:rsidR="00316B9E" w:rsidRPr="00316B9E" w:rsidRDefault="00316B9E" w:rsidP="00316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B9E">
        <w:rPr>
          <w:rFonts w:ascii="Times New Roman" w:hAnsi="Times New Roman" w:cs="Times New Roman"/>
          <w:sz w:val="24"/>
          <w:szCs w:val="24"/>
        </w:rPr>
        <w:t>Проведені дослідження практики запобігання банкрутству свідчать, що у склад превентивних механізмів щодо запобігання банкрутству потрібно включати: механізм соціального партнерства; правильний вибір партнерів по бізнесу; свідомий вибір конкурентів;</w:t>
      </w:r>
      <w:r w:rsidR="009616D7">
        <w:rPr>
          <w:rFonts w:ascii="Times New Roman" w:hAnsi="Times New Roman" w:cs="Times New Roman"/>
          <w:sz w:val="24"/>
          <w:szCs w:val="24"/>
        </w:rPr>
        <w:t xml:space="preserve"> </w:t>
      </w:r>
      <w:r w:rsidRPr="00316B9E">
        <w:rPr>
          <w:rFonts w:ascii="Times New Roman" w:hAnsi="Times New Roman" w:cs="Times New Roman"/>
          <w:sz w:val="24"/>
          <w:szCs w:val="24"/>
        </w:rPr>
        <w:t>прогнозування рівня можливої неплатоспроможності підприємства; досудову санацію підприємства; санацію підприємства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B9E" w:rsidRPr="00316B9E" w:rsidRDefault="00316B9E" w:rsidP="00316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B9E">
        <w:rPr>
          <w:rFonts w:ascii="Times New Roman" w:hAnsi="Times New Roman" w:cs="Times New Roman"/>
          <w:sz w:val="24"/>
          <w:szCs w:val="24"/>
        </w:rPr>
        <w:t xml:space="preserve">У світовій практиці загальновідомі два підходи до прогнозування банкрутства. Перший базується на фінансових даних і оперує загальновідомими показниками (зокрема, </w:t>
      </w:r>
      <w:r w:rsidRPr="00316B9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6B9E">
        <w:rPr>
          <w:rFonts w:ascii="Times New Roman" w:hAnsi="Times New Roman" w:cs="Times New Roman"/>
          <w:sz w:val="24"/>
          <w:szCs w:val="24"/>
        </w:rPr>
        <w:t xml:space="preserve"> - коефіцієнт Альтмана), а також на вмінні «читати» баланс компаній. Недоліками першого підходу є приховування фінансової інформації фірмами, які мають проблеми, фальсифікація даних, суперечливість оцінки ситуації за різними показниками. Другий підхід виходить із даних збанкрутілих компаній і порівнює їх із відповідними даними досліджуваної компанії. Недоліком підходу є невпорядкованість даних по компаніях-банкрутах.</w:t>
      </w:r>
    </w:p>
    <w:p w:rsidR="00316B9E" w:rsidRPr="00316B9E" w:rsidRDefault="00316B9E" w:rsidP="0096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B9E">
        <w:rPr>
          <w:rFonts w:ascii="Times New Roman" w:hAnsi="Times New Roman" w:cs="Times New Roman"/>
          <w:sz w:val="24"/>
          <w:szCs w:val="24"/>
        </w:rPr>
        <w:t xml:space="preserve">Ми рекомендуємо проводити статистичний експрес-аналіз фінансового стану підприємств (фінансовий моніторинг) за допомогою коефіцієнта </w:t>
      </w:r>
      <w:proofErr w:type="spellStart"/>
      <w:r w:rsidRPr="00316B9E">
        <w:rPr>
          <w:rFonts w:ascii="Times New Roman" w:hAnsi="Times New Roman" w:cs="Times New Roman"/>
          <w:sz w:val="24"/>
          <w:szCs w:val="24"/>
        </w:rPr>
        <w:t>Бівера</w:t>
      </w:r>
      <w:proofErr w:type="spellEnd"/>
      <w:r w:rsidRPr="00316B9E">
        <w:rPr>
          <w:rFonts w:ascii="Times New Roman" w:hAnsi="Times New Roman" w:cs="Times New Roman"/>
          <w:sz w:val="24"/>
          <w:szCs w:val="24"/>
        </w:rPr>
        <w:t>.</w:t>
      </w:r>
      <w:r w:rsidR="009616D7">
        <w:rPr>
          <w:rFonts w:ascii="Times New Roman" w:hAnsi="Times New Roman" w:cs="Times New Roman"/>
          <w:sz w:val="24"/>
          <w:szCs w:val="24"/>
        </w:rPr>
        <w:t xml:space="preserve"> </w:t>
      </w:r>
      <w:r w:rsidRPr="00316B9E">
        <w:rPr>
          <w:rFonts w:ascii="Times New Roman" w:hAnsi="Times New Roman" w:cs="Times New Roman"/>
          <w:sz w:val="24"/>
          <w:szCs w:val="24"/>
        </w:rPr>
        <w:t xml:space="preserve"> </w:t>
      </w:r>
      <w:r w:rsidR="009616D7">
        <w:rPr>
          <w:rFonts w:ascii="Times New Roman" w:hAnsi="Times New Roman" w:cs="Times New Roman"/>
          <w:sz w:val="24"/>
          <w:szCs w:val="24"/>
        </w:rPr>
        <w:t>Він</w:t>
      </w:r>
      <w:r w:rsidRPr="00316B9E">
        <w:rPr>
          <w:rFonts w:ascii="Times New Roman" w:hAnsi="Times New Roman" w:cs="Times New Roman"/>
          <w:sz w:val="24"/>
          <w:szCs w:val="24"/>
        </w:rPr>
        <w:t xml:space="preserve"> розраховується</w:t>
      </w:r>
      <w:r w:rsidR="009616D7">
        <w:rPr>
          <w:rFonts w:ascii="Times New Roman" w:hAnsi="Times New Roman" w:cs="Times New Roman"/>
          <w:sz w:val="24"/>
          <w:szCs w:val="24"/>
        </w:rPr>
        <w:t xml:space="preserve"> діленням різниці чистого прибутку і амортизаційних відрахувань на суму довгострокових та поточних зобов’язань підприємства.</w:t>
      </w:r>
    </w:p>
    <w:p w:rsidR="009616D7" w:rsidRDefault="00316B9E" w:rsidP="00961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7">
        <w:rPr>
          <w:rFonts w:ascii="Times New Roman" w:hAnsi="Times New Roman" w:cs="Times New Roman"/>
          <w:sz w:val="24"/>
          <w:szCs w:val="24"/>
        </w:rPr>
        <w:t xml:space="preserve">Значення показника за міжнародними стандартами повинно знаходитися в межах 0,17-0,4, для того, щоб оцінювати сприятливість структури балансу. </w:t>
      </w:r>
      <w:r w:rsidR="009616D7" w:rsidRPr="009616D7">
        <w:rPr>
          <w:rFonts w:ascii="Times New Roman" w:hAnsi="Times New Roman" w:cs="Times New Roman"/>
          <w:sz w:val="24"/>
          <w:szCs w:val="24"/>
        </w:rPr>
        <w:t xml:space="preserve">Нами розраховані коефіцієнти </w:t>
      </w:r>
      <w:proofErr w:type="spellStart"/>
      <w:r w:rsidR="009616D7" w:rsidRPr="009616D7">
        <w:rPr>
          <w:rFonts w:ascii="Times New Roman" w:hAnsi="Times New Roman" w:cs="Times New Roman"/>
          <w:sz w:val="24"/>
          <w:szCs w:val="24"/>
        </w:rPr>
        <w:t>Бівера</w:t>
      </w:r>
      <w:proofErr w:type="spellEnd"/>
      <w:r w:rsidR="009616D7" w:rsidRPr="009616D7">
        <w:rPr>
          <w:rFonts w:ascii="Times New Roman" w:hAnsi="Times New Roman" w:cs="Times New Roman"/>
          <w:sz w:val="24"/>
          <w:szCs w:val="24"/>
        </w:rPr>
        <w:t xml:space="preserve"> для трьох досліджуваних підприємств (табл. </w:t>
      </w:r>
      <w:r w:rsidR="009616D7">
        <w:rPr>
          <w:rFonts w:ascii="Times New Roman" w:hAnsi="Times New Roman" w:cs="Times New Roman"/>
          <w:sz w:val="24"/>
          <w:szCs w:val="24"/>
        </w:rPr>
        <w:t>1</w:t>
      </w:r>
      <w:r w:rsidR="009616D7" w:rsidRPr="009616D7">
        <w:rPr>
          <w:rFonts w:ascii="Times New Roman" w:hAnsi="Times New Roman" w:cs="Times New Roman"/>
          <w:sz w:val="24"/>
          <w:szCs w:val="24"/>
        </w:rPr>
        <w:t>).</w:t>
      </w:r>
    </w:p>
    <w:p w:rsidR="009616D7" w:rsidRPr="009616D7" w:rsidRDefault="009616D7" w:rsidP="00961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6D7" w:rsidRPr="009616D7" w:rsidRDefault="009616D7" w:rsidP="00961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16D7">
        <w:rPr>
          <w:rFonts w:ascii="Times New Roman" w:hAnsi="Times New Roman" w:cs="Times New Roman"/>
          <w:sz w:val="24"/>
          <w:szCs w:val="24"/>
        </w:rPr>
        <w:t xml:space="preserve">Таблиця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616D7">
        <w:rPr>
          <w:rFonts w:ascii="Times New Roman" w:hAnsi="Times New Roman" w:cs="Times New Roman"/>
          <w:sz w:val="24"/>
          <w:szCs w:val="24"/>
        </w:rPr>
        <w:t xml:space="preserve"> Динаміка коефіцієнта 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Бівера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D7" w:rsidRPr="009616D7" w:rsidRDefault="009616D7" w:rsidP="00961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16D7">
        <w:rPr>
          <w:rFonts w:ascii="Times New Roman" w:hAnsi="Times New Roman" w:cs="Times New Roman"/>
          <w:sz w:val="24"/>
          <w:szCs w:val="24"/>
        </w:rPr>
        <w:t>підприємств-виробників пластмасових виробів</w:t>
      </w: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1277"/>
        <w:gridCol w:w="850"/>
        <w:gridCol w:w="851"/>
        <w:gridCol w:w="873"/>
      </w:tblGrid>
      <w:tr w:rsidR="009616D7" w:rsidRPr="009616D7" w:rsidTr="009616D7">
        <w:tc>
          <w:tcPr>
            <w:tcW w:w="1697" w:type="pct"/>
            <w:vMerge w:val="restar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t>Підприємство</w:t>
            </w:r>
          </w:p>
        </w:tc>
        <w:tc>
          <w:tcPr>
            <w:tcW w:w="1095" w:type="pct"/>
            <w:vMerge w:val="restar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t>Рекомендаційне значення показника</w:t>
            </w:r>
          </w:p>
        </w:tc>
        <w:tc>
          <w:tcPr>
            <w:tcW w:w="2208" w:type="pct"/>
            <w:gridSpan w:val="3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t xml:space="preserve">Коефіцієнт </w:t>
            </w:r>
            <w:proofErr w:type="spellStart"/>
            <w:r w:rsidRPr="009616D7">
              <w:t>Бівера</w:t>
            </w:r>
            <w:proofErr w:type="spellEnd"/>
          </w:p>
        </w:tc>
      </w:tr>
      <w:tr w:rsidR="009616D7" w:rsidRPr="009616D7" w:rsidTr="009616D7">
        <w:tc>
          <w:tcPr>
            <w:tcW w:w="1697" w:type="pct"/>
            <w:vMerge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pct"/>
            <w:vMerge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t>201</w:t>
            </w:r>
            <w:r>
              <w:t>8</w:t>
            </w:r>
            <w:r w:rsidRPr="009616D7">
              <w:t xml:space="preserve"> рік</w:t>
            </w:r>
          </w:p>
        </w:tc>
        <w:tc>
          <w:tcPr>
            <w:tcW w:w="730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t>201</w:t>
            </w:r>
            <w:r>
              <w:t>9</w:t>
            </w:r>
            <w:r w:rsidRPr="009616D7">
              <w:t xml:space="preserve"> рік</w:t>
            </w:r>
          </w:p>
        </w:tc>
        <w:tc>
          <w:tcPr>
            <w:tcW w:w="74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t>20</w:t>
            </w:r>
            <w:r>
              <w:t>20</w:t>
            </w:r>
            <w:r w:rsidRPr="009616D7">
              <w:t xml:space="preserve"> рік</w:t>
            </w:r>
          </w:p>
        </w:tc>
      </w:tr>
      <w:tr w:rsidR="009616D7" w:rsidRPr="009616D7" w:rsidTr="009616D7">
        <w:tc>
          <w:tcPr>
            <w:tcW w:w="1697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9616D7">
              <w:t>ПрАТ СП «</w:t>
            </w:r>
            <w:proofErr w:type="spellStart"/>
            <w:r w:rsidRPr="009616D7">
              <w:t>Теріхем</w:t>
            </w:r>
            <w:proofErr w:type="spellEnd"/>
            <w:r w:rsidRPr="009616D7">
              <w:t xml:space="preserve"> </w:t>
            </w:r>
            <w:proofErr w:type="spellStart"/>
            <w:r w:rsidRPr="009616D7">
              <w:t>Тервакоскі</w:t>
            </w:r>
            <w:proofErr w:type="spellEnd"/>
            <w:r w:rsidRPr="009616D7">
              <w:t>»</w:t>
            </w:r>
          </w:p>
        </w:tc>
        <w:tc>
          <w:tcPr>
            <w:tcW w:w="1095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6D7">
              <w:rPr>
                <w:lang w:val="en-US"/>
              </w:rPr>
              <w:t>[</w:t>
            </w:r>
            <w:r w:rsidRPr="009616D7">
              <w:t>0,17-0,40</w:t>
            </w:r>
            <w:r w:rsidRPr="009616D7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0,323</w:t>
            </w:r>
          </w:p>
        </w:tc>
        <w:tc>
          <w:tcPr>
            <w:tcW w:w="730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0,218</w:t>
            </w:r>
          </w:p>
        </w:tc>
        <w:tc>
          <w:tcPr>
            <w:tcW w:w="74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0,004</w:t>
            </w:r>
          </w:p>
        </w:tc>
      </w:tr>
      <w:tr w:rsidR="009616D7" w:rsidRPr="009616D7" w:rsidTr="009616D7">
        <w:tc>
          <w:tcPr>
            <w:tcW w:w="1697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9616D7">
              <w:rPr>
                <w:lang w:val="ru-RU"/>
              </w:rPr>
              <w:t>ТзОВ</w:t>
            </w:r>
            <w:proofErr w:type="spellEnd"/>
            <w:r w:rsidRPr="009616D7">
              <w:rPr>
                <w:lang w:val="ru-RU"/>
              </w:rPr>
              <w:t xml:space="preserve"> «</w:t>
            </w:r>
            <w:proofErr w:type="spellStart"/>
            <w:r w:rsidRPr="009616D7">
              <w:rPr>
                <w:lang w:val="ru-RU"/>
              </w:rPr>
              <w:t>Татрафан</w:t>
            </w:r>
            <w:proofErr w:type="spellEnd"/>
            <w:r w:rsidRPr="009616D7">
              <w:rPr>
                <w:lang w:val="ru-RU"/>
              </w:rPr>
              <w:t>»</w:t>
            </w:r>
          </w:p>
        </w:tc>
        <w:tc>
          <w:tcPr>
            <w:tcW w:w="1095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lang w:val="en-US"/>
              </w:rPr>
              <w:t>[</w:t>
            </w:r>
            <w:r w:rsidRPr="009616D7">
              <w:t>0,17-0,40</w:t>
            </w:r>
            <w:r w:rsidRPr="009616D7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-0,035</w:t>
            </w:r>
          </w:p>
        </w:tc>
        <w:tc>
          <w:tcPr>
            <w:tcW w:w="730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-0,028</w:t>
            </w:r>
          </w:p>
        </w:tc>
        <w:tc>
          <w:tcPr>
            <w:tcW w:w="74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-0,042</w:t>
            </w:r>
          </w:p>
        </w:tc>
      </w:tr>
      <w:tr w:rsidR="009616D7" w:rsidRPr="009616D7" w:rsidTr="009616D7">
        <w:tc>
          <w:tcPr>
            <w:tcW w:w="1697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proofErr w:type="spellStart"/>
            <w:r w:rsidRPr="009616D7">
              <w:rPr>
                <w:lang w:val="ru-RU"/>
              </w:rPr>
              <w:t>ТзОВ</w:t>
            </w:r>
            <w:proofErr w:type="spellEnd"/>
            <w:r w:rsidRPr="009616D7">
              <w:rPr>
                <w:lang w:val="ru-RU"/>
              </w:rPr>
              <w:t xml:space="preserve"> «</w:t>
            </w:r>
            <w:proofErr w:type="spellStart"/>
            <w:r w:rsidRPr="009616D7">
              <w:rPr>
                <w:lang w:val="ru-RU"/>
              </w:rPr>
              <w:t>Алфаінтерпласт</w:t>
            </w:r>
            <w:proofErr w:type="spellEnd"/>
            <w:r w:rsidRPr="009616D7">
              <w:rPr>
                <w:lang w:val="ru-RU"/>
              </w:rPr>
              <w:t>»</w:t>
            </w:r>
          </w:p>
        </w:tc>
        <w:tc>
          <w:tcPr>
            <w:tcW w:w="1095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lang w:val="en-US"/>
              </w:rPr>
              <w:t>[</w:t>
            </w:r>
            <w:r w:rsidRPr="009616D7">
              <w:t>0,17-0,40</w:t>
            </w:r>
            <w:r w:rsidRPr="009616D7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2,462</w:t>
            </w:r>
          </w:p>
        </w:tc>
        <w:tc>
          <w:tcPr>
            <w:tcW w:w="730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2,844</w:t>
            </w:r>
          </w:p>
        </w:tc>
        <w:tc>
          <w:tcPr>
            <w:tcW w:w="749" w:type="pct"/>
            <w:vAlign w:val="center"/>
          </w:tcPr>
          <w:p w:rsidR="009616D7" w:rsidRPr="009616D7" w:rsidRDefault="009616D7" w:rsidP="009616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616D7">
              <w:rPr>
                <w:color w:val="000000"/>
              </w:rPr>
              <w:t>2,107</w:t>
            </w:r>
          </w:p>
        </w:tc>
      </w:tr>
    </w:tbl>
    <w:p w:rsidR="009616D7" w:rsidRPr="009616D7" w:rsidRDefault="009616D7" w:rsidP="00961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B9E" w:rsidRPr="009616D7" w:rsidRDefault="009616D7" w:rsidP="00961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7">
        <w:rPr>
          <w:rFonts w:ascii="Times New Roman" w:hAnsi="Times New Roman" w:cs="Times New Roman"/>
          <w:sz w:val="24"/>
          <w:szCs w:val="24"/>
        </w:rPr>
        <w:t xml:space="preserve">За даним експрес-аналізу коефіцієнта 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Бівера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 xml:space="preserve"> з’ясовано, що найбільш сприятливу структуру балансу серед досліджуваних підприємств має ТзОВ «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Алфаінтерпласт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>» (показник значно більший за рекомендаційне значення).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6D7">
        <w:rPr>
          <w:rFonts w:ascii="Times New Roman" w:hAnsi="Times New Roman" w:cs="Times New Roman"/>
          <w:sz w:val="24"/>
          <w:szCs w:val="24"/>
        </w:rPr>
        <w:t>–201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16D7">
        <w:rPr>
          <w:rFonts w:ascii="Times New Roman" w:hAnsi="Times New Roman" w:cs="Times New Roman"/>
          <w:sz w:val="24"/>
          <w:szCs w:val="24"/>
        </w:rPr>
        <w:t xml:space="preserve"> роки ПрАТ СП «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Теріхем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Тервакоскі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>» також мало гармонійну структуру балансу, а у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6D7">
        <w:rPr>
          <w:rFonts w:ascii="Times New Roman" w:hAnsi="Times New Roman" w:cs="Times New Roman"/>
          <w:sz w:val="24"/>
          <w:szCs w:val="24"/>
        </w:rPr>
        <w:t xml:space="preserve"> році коефіцієнт 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Бівера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 xml:space="preserve"> знизився  і був нищим за рекомендаційне значення (0,004 ˂ 0,2). Найгірша ситуація на ТзОВ «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Татрафан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 xml:space="preserve">». Коефіцієнт 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Бівера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 xml:space="preserve"> має від’ємне значення протягом останніх трьох років, що вказує на не сприятливу структуру балансу і можливість банкрутства підприємства. </w:t>
      </w:r>
    </w:p>
    <w:p w:rsidR="00316B9E" w:rsidRDefault="00316B9E" w:rsidP="0096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D7">
        <w:rPr>
          <w:rFonts w:ascii="Times New Roman" w:hAnsi="Times New Roman" w:cs="Times New Roman"/>
          <w:sz w:val="24"/>
          <w:szCs w:val="24"/>
        </w:rPr>
        <w:t>Таки</w:t>
      </w:r>
      <w:r w:rsidR="009616D7">
        <w:rPr>
          <w:rFonts w:ascii="Times New Roman" w:hAnsi="Times New Roman" w:cs="Times New Roman"/>
          <w:sz w:val="24"/>
          <w:szCs w:val="24"/>
        </w:rPr>
        <w:t>м</w:t>
      </w:r>
      <w:r w:rsidRPr="009616D7">
        <w:rPr>
          <w:rFonts w:ascii="Times New Roman" w:hAnsi="Times New Roman" w:cs="Times New Roman"/>
          <w:sz w:val="24"/>
          <w:szCs w:val="24"/>
        </w:rPr>
        <w:t xml:space="preserve"> чином, експрес-аналіз фінансового стану підприємства за допомогою розрахунку коефіцієнта </w:t>
      </w:r>
      <w:proofErr w:type="spellStart"/>
      <w:r w:rsidRPr="009616D7">
        <w:rPr>
          <w:rFonts w:ascii="Times New Roman" w:hAnsi="Times New Roman" w:cs="Times New Roman"/>
          <w:sz w:val="24"/>
          <w:szCs w:val="24"/>
        </w:rPr>
        <w:t>Бівера</w:t>
      </w:r>
      <w:proofErr w:type="spellEnd"/>
      <w:r w:rsidRPr="009616D7">
        <w:rPr>
          <w:rFonts w:ascii="Times New Roman" w:hAnsi="Times New Roman" w:cs="Times New Roman"/>
          <w:sz w:val="24"/>
          <w:szCs w:val="24"/>
        </w:rPr>
        <w:t xml:space="preserve"> дає можливість швидко оцінити оптимальність структури балансу і рівень ймовірності банкрутства.</w:t>
      </w:r>
    </w:p>
    <w:p w:rsidR="009616D7" w:rsidRDefault="009616D7" w:rsidP="0096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6D7" w:rsidRDefault="009616D7" w:rsidP="009616D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F1221">
        <w:rPr>
          <w:rFonts w:ascii="Times New Roman" w:hAnsi="Times New Roman" w:cs="Times New Roman"/>
          <w:bCs/>
          <w:i/>
          <w:sz w:val="24"/>
          <w:szCs w:val="24"/>
        </w:rPr>
        <w:t>Список використаних джерел</w:t>
      </w:r>
    </w:p>
    <w:p w:rsidR="009616D7" w:rsidRPr="009616D7" w:rsidRDefault="009616D7" w:rsidP="0096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6D7" w:rsidRPr="009616D7" w:rsidRDefault="009616D7" w:rsidP="009616D7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</w:rPr>
      </w:pPr>
      <w:r w:rsidRPr="009616D7">
        <w:rPr>
          <w:rFonts w:ascii="Times New Roman" w:hAnsi="Times New Roman" w:cs="Times New Roman"/>
          <w:sz w:val="20"/>
          <w:szCs w:val="28"/>
        </w:rPr>
        <w:t xml:space="preserve">Методичні рекомендації щодо виявлення ознак неплатоспроможності підприємства та ознак дій з приховування банкрутства, фіктивного банкрутства чи доведення до банкрутства, затверджені Наказом Міністерства економіки України 9.01.2006 № 14 (у редакції наказу Міністерства економіки України від 26.10.2010 </w:t>
      </w:r>
      <w:r w:rsidRPr="009616D7">
        <w:rPr>
          <w:rFonts w:ascii="Times New Roman" w:hAnsi="Times New Roman" w:cs="Times New Roman"/>
          <w:sz w:val="20"/>
          <w:szCs w:val="28"/>
        </w:rPr>
        <w:lastRenderedPageBreak/>
        <w:t xml:space="preserve">№ 1361). </w:t>
      </w:r>
      <w:r w:rsidRPr="009616D7">
        <w:rPr>
          <w:rFonts w:ascii="Times New Roman" w:hAnsi="Times New Roman" w:cs="Times New Roman"/>
          <w:sz w:val="20"/>
          <w:szCs w:val="28"/>
          <w:lang w:val="en-US"/>
        </w:rPr>
        <w:t>URL</w:t>
      </w:r>
      <w:r w:rsidRPr="009616D7">
        <w:rPr>
          <w:rFonts w:ascii="Times New Roman" w:hAnsi="Times New Roman" w:cs="Times New Roman"/>
          <w:sz w:val="20"/>
          <w:szCs w:val="28"/>
        </w:rPr>
        <w:t xml:space="preserve">: http://www.me.gov.ua/control/uk/publish/article?art_id=161074&amp;cat_id=32854 </w:t>
      </w:r>
    </w:p>
    <w:p w:rsidR="00BB68BF" w:rsidRPr="009616D7" w:rsidRDefault="00BB68BF" w:rsidP="00961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sectPr w:rsidR="00BB68BF" w:rsidRPr="009616D7" w:rsidSect="00316B9E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6298"/>
    <w:multiLevelType w:val="hybridMultilevel"/>
    <w:tmpl w:val="690A1AA2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E"/>
    <w:rsid w:val="00316B9E"/>
    <w:rsid w:val="00373D64"/>
    <w:rsid w:val="0078091A"/>
    <w:rsid w:val="009616D7"/>
    <w:rsid w:val="00A4372B"/>
    <w:rsid w:val="00B71BCC"/>
    <w:rsid w:val="00BB68BF"/>
    <w:rsid w:val="00C45ED4"/>
    <w:rsid w:val="00C73902"/>
    <w:rsid w:val="00E30E88"/>
    <w:rsid w:val="00E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5C89-232C-4514-84B9-E5A68D5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9E"/>
  </w:style>
  <w:style w:type="paragraph" w:styleId="1">
    <w:name w:val="heading 1"/>
    <w:basedOn w:val="a"/>
    <w:next w:val="a"/>
    <w:link w:val="10"/>
    <w:autoRedefine/>
    <w:uiPriority w:val="9"/>
    <w:qFormat/>
    <w:rsid w:val="00A4372B"/>
    <w:pPr>
      <w:keepNext/>
      <w:tabs>
        <w:tab w:val="right" w:leader="dot" w:pos="936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72B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72B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9">
    <w:name w:val="heading 9"/>
    <w:basedOn w:val="a"/>
    <w:next w:val="a"/>
    <w:link w:val="90"/>
    <w:qFormat/>
    <w:rsid w:val="00A4372B"/>
    <w:pPr>
      <w:tabs>
        <w:tab w:val="right" w:leader="dot" w:pos="9360"/>
      </w:tabs>
      <w:spacing w:before="240" w:after="60" w:line="240" w:lineRule="auto"/>
      <w:ind w:left="540" w:right="175" w:hanging="54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437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A4372B"/>
    <w:pPr>
      <w:widowControl w:val="0"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customStyle="1" w:styleId="110">
    <w:name w:val="Оглавление 11"/>
    <w:basedOn w:val="a"/>
    <w:uiPriority w:val="1"/>
    <w:qFormat/>
    <w:rsid w:val="00A4372B"/>
    <w:pPr>
      <w:widowControl w:val="0"/>
      <w:autoSpaceDE w:val="0"/>
      <w:autoSpaceDN w:val="0"/>
      <w:spacing w:before="1" w:after="0" w:line="240" w:lineRule="auto"/>
      <w:ind w:right="209" w:hanging="1400"/>
      <w:jc w:val="right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21">
    <w:name w:val="Оглавление 21"/>
    <w:basedOn w:val="a"/>
    <w:uiPriority w:val="1"/>
    <w:qFormat/>
    <w:rsid w:val="00A4372B"/>
    <w:pPr>
      <w:widowControl w:val="0"/>
      <w:autoSpaceDE w:val="0"/>
      <w:autoSpaceDN w:val="0"/>
      <w:spacing w:before="161" w:after="0" w:line="240" w:lineRule="auto"/>
      <w:ind w:right="211"/>
      <w:jc w:val="right"/>
    </w:pPr>
    <w:rPr>
      <w:rFonts w:ascii="Times New Roman" w:eastAsia="Times New Roman" w:hAnsi="Times New Roman" w:cs="Times New Roman"/>
      <w:b/>
      <w:bCs/>
      <w:i/>
      <w:lang w:eastAsia="uk-UA" w:bidi="uk-UA"/>
    </w:rPr>
  </w:style>
  <w:style w:type="paragraph" w:customStyle="1" w:styleId="31">
    <w:name w:val="Оглавление 31"/>
    <w:basedOn w:val="a"/>
    <w:uiPriority w:val="1"/>
    <w:qFormat/>
    <w:rsid w:val="00A4372B"/>
    <w:pPr>
      <w:widowControl w:val="0"/>
      <w:autoSpaceDE w:val="0"/>
      <w:autoSpaceDN w:val="0"/>
      <w:spacing w:before="161" w:after="0" w:line="240" w:lineRule="auto"/>
      <w:ind w:left="69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customStyle="1" w:styleId="41">
    <w:name w:val="Оглавление 41"/>
    <w:basedOn w:val="a"/>
    <w:uiPriority w:val="1"/>
    <w:qFormat/>
    <w:rsid w:val="00A4372B"/>
    <w:pPr>
      <w:widowControl w:val="0"/>
      <w:autoSpaceDE w:val="0"/>
      <w:autoSpaceDN w:val="0"/>
      <w:spacing w:before="160" w:after="0" w:line="240" w:lineRule="auto"/>
      <w:ind w:left="198" w:right="202" w:firstLine="707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customStyle="1" w:styleId="51">
    <w:name w:val="Оглавление 51"/>
    <w:basedOn w:val="a"/>
    <w:uiPriority w:val="1"/>
    <w:qFormat/>
    <w:rsid w:val="00A4372B"/>
    <w:pPr>
      <w:widowControl w:val="0"/>
      <w:autoSpaceDE w:val="0"/>
      <w:autoSpaceDN w:val="0"/>
      <w:spacing w:after="0" w:line="240" w:lineRule="auto"/>
      <w:ind w:left="198" w:firstLine="707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a3">
    <w:name w:val="Алена"/>
    <w:basedOn w:val="a"/>
    <w:link w:val="a4"/>
    <w:qFormat/>
    <w:rsid w:val="00A4372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лена Знак"/>
    <w:basedOn w:val="a0"/>
    <w:link w:val="a3"/>
    <w:rsid w:val="00A4372B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372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72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4372B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90">
    <w:name w:val="Заголовок 9 Знак"/>
    <w:basedOn w:val="a0"/>
    <w:link w:val="9"/>
    <w:rsid w:val="00A4372B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A4372B"/>
    <w:pPr>
      <w:spacing w:before="240" w:after="240" w:line="360" w:lineRule="auto"/>
      <w:ind w:firstLine="425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A4372B"/>
    <w:pPr>
      <w:spacing w:after="120"/>
    </w:pPr>
  </w:style>
  <w:style w:type="character" w:customStyle="1" w:styleId="a7">
    <w:name w:val="Основний текст Знак"/>
    <w:basedOn w:val="a0"/>
    <w:link w:val="a6"/>
    <w:uiPriority w:val="1"/>
    <w:rsid w:val="00A4372B"/>
  </w:style>
  <w:style w:type="paragraph" w:styleId="a8">
    <w:name w:val="List Paragraph"/>
    <w:basedOn w:val="a"/>
    <w:uiPriority w:val="34"/>
    <w:qFormat/>
    <w:rsid w:val="00A4372B"/>
    <w:pPr>
      <w:ind w:left="720"/>
      <w:contextualSpacing/>
    </w:pPr>
  </w:style>
  <w:style w:type="paragraph" w:styleId="a9">
    <w:name w:val="Title"/>
    <w:basedOn w:val="a"/>
    <w:next w:val="aa"/>
    <w:link w:val="ab"/>
    <w:uiPriority w:val="99"/>
    <w:qFormat/>
    <w:rsid w:val="00316B9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Calibri"/>
      <w:b/>
      <w:i/>
      <w:kern w:val="3"/>
      <w:sz w:val="28"/>
      <w:szCs w:val="20"/>
      <w:lang w:eastAsia="uk-UA"/>
    </w:rPr>
  </w:style>
  <w:style w:type="character" w:customStyle="1" w:styleId="ab">
    <w:name w:val="Назва Знак"/>
    <w:basedOn w:val="a0"/>
    <w:link w:val="a9"/>
    <w:uiPriority w:val="99"/>
    <w:rsid w:val="00316B9E"/>
    <w:rPr>
      <w:rFonts w:ascii="Times New Roman" w:eastAsia="Times New Roman" w:hAnsi="Times New Roman" w:cs="Calibri"/>
      <w:b/>
      <w:i/>
      <w:kern w:val="3"/>
      <w:sz w:val="28"/>
      <w:szCs w:val="20"/>
      <w:lang w:eastAsia="uk-UA"/>
    </w:rPr>
  </w:style>
  <w:style w:type="paragraph" w:styleId="aa">
    <w:name w:val="Subtitle"/>
    <w:basedOn w:val="a"/>
    <w:next w:val="a"/>
    <w:link w:val="ac"/>
    <w:uiPriority w:val="11"/>
    <w:qFormat/>
    <w:rsid w:val="00316B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ідзаголовок Знак"/>
    <w:basedOn w:val="a0"/>
    <w:link w:val="aa"/>
    <w:uiPriority w:val="11"/>
    <w:rsid w:val="00316B9E"/>
    <w:rPr>
      <w:rFonts w:eastAsiaTheme="minorEastAsia"/>
      <w:color w:val="5A5A5A" w:themeColor="text1" w:themeTint="A5"/>
      <w:spacing w:val="15"/>
    </w:rPr>
  </w:style>
  <w:style w:type="character" w:customStyle="1" w:styleId="ad">
    <w:name w:val="Звичайний (веб) Знак"/>
    <w:link w:val="ae"/>
    <w:uiPriority w:val="99"/>
    <w:locked/>
    <w:rsid w:val="00316B9E"/>
    <w:rPr>
      <w:sz w:val="24"/>
      <w:szCs w:val="24"/>
    </w:rPr>
  </w:style>
  <w:style w:type="paragraph" w:styleId="ae">
    <w:name w:val="Normal (Web)"/>
    <w:aliases w:val="Обычный (Web)2,Обычный (веб)1"/>
    <w:basedOn w:val="a"/>
    <w:link w:val="ad"/>
    <w:uiPriority w:val="99"/>
    <w:unhideWhenUsed/>
    <w:rsid w:val="00316B9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">
    <w:name w:val="Table Grid"/>
    <w:basedOn w:val="a1"/>
    <w:uiPriority w:val="59"/>
    <w:rsid w:val="00316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f"/>
    <w:uiPriority w:val="59"/>
    <w:rsid w:val="009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2917</Words>
  <Characters>1663</Characters>
  <Application>Microsoft Office Word</Application>
  <DocSecurity>0</DocSecurity>
  <Lines>13</Lines>
  <Paragraphs>9</Paragraphs>
  <ScaleCrop>false</ScaleCrop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2021-04-05T10:08:00Z</dcterms:created>
  <dcterms:modified xsi:type="dcterms:W3CDTF">2021-04-05T10:28:00Z</dcterms:modified>
</cp:coreProperties>
</file>