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91" w:rsidRPr="000D2415" w:rsidRDefault="00D23C91" w:rsidP="000D2415">
      <w:pPr>
        <w:ind w:firstLine="567"/>
        <w:jc w:val="center"/>
        <w:rPr>
          <w:b/>
          <w:sz w:val="22"/>
          <w:szCs w:val="22"/>
        </w:rPr>
      </w:pPr>
    </w:p>
    <w:p w:rsidR="00D23C91" w:rsidRPr="000D2415" w:rsidRDefault="00D23C91" w:rsidP="000D2415">
      <w:pPr>
        <w:ind w:firstLine="567"/>
        <w:rPr>
          <w:sz w:val="22"/>
          <w:szCs w:val="22"/>
          <w:lang w:val="ru-RU"/>
        </w:rPr>
      </w:pPr>
      <w:r w:rsidRPr="000D2415">
        <w:rPr>
          <w:sz w:val="22"/>
          <w:szCs w:val="22"/>
        </w:rPr>
        <w:t>УДК 332.155:664.6</w:t>
      </w:r>
    </w:p>
    <w:p w:rsidR="00D23C91" w:rsidRPr="000D2415" w:rsidRDefault="00D23C91" w:rsidP="000D2415">
      <w:pPr>
        <w:jc w:val="right"/>
        <w:rPr>
          <w:b/>
          <w:bCs/>
          <w:sz w:val="22"/>
          <w:szCs w:val="22"/>
        </w:rPr>
      </w:pPr>
      <w:r w:rsidRPr="000D2415">
        <w:rPr>
          <w:b/>
          <w:bCs/>
          <w:sz w:val="22"/>
          <w:szCs w:val="22"/>
        </w:rPr>
        <w:t>Талах Т.А.</w:t>
      </w:r>
      <w:r w:rsidRPr="000D2415">
        <w:rPr>
          <w:b/>
          <w:bCs/>
          <w:sz w:val="22"/>
          <w:szCs w:val="22"/>
        </w:rPr>
        <w:t xml:space="preserve">, </w:t>
      </w:r>
      <w:proofErr w:type="spellStart"/>
      <w:r w:rsidRPr="000D2415">
        <w:rPr>
          <w:bCs/>
          <w:sz w:val="22"/>
          <w:szCs w:val="22"/>
        </w:rPr>
        <w:t>к.е.н</w:t>
      </w:r>
      <w:proofErr w:type="spellEnd"/>
      <w:r w:rsidRPr="000D2415">
        <w:rPr>
          <w:bCs/>
          <w:sz w:val="22"/>
          <w:szCs w:val="22"/>
        </w:rPr>
        <w:t>., доцент</w:t>
      </w:r>
    </w:p>
    <w:p w:rsidR="00D23C91" w:rsidRPr="000D2415" w:rsidRDefault="00D23C91" w:rsidP="000D2415">
      <w:pPr>
        <w:ind w:firstLine="567"/>
        <w:jc w:val="right"/>
        <w:rPr>
          <w:iCs/>
          <w:sz w:val="22"/>
          <w:szCs w:val="22"/>
        </w:rPr>
      </w:pPr>
      <w:r w:rsidRPr="000D2415">
        <w:rPr>
          <w:iCs/>
          <w:sz w:val="22"/>
          <w:szCs w:val="22"/>
        </w:rPr>
        <w:t>Луцький національний технічний університет</w:t>
      </w:r>
    </w:p>
    <w:p w:rsidR="00D23C91" w:rsidRPr="000D2415" w:rsidRDefault="00D23C91" w:rsidP="000D2415">
      <w:pPr>
        <w:ind w:firstLine="567"/>
        <w:jc w:val="right"/>
        <w:rPr>
          <w:b/>
          <w:sz w:val="22"/>
          <w:szCs w:val="22"/>
        </w:rPr>
      </w:pPr>
      <w:r w:rsidRPr="000D2415">
        <w:rPr>
          <w:b/>
          <w:sz w:val="22"/>
          <w:szCs w:val="22"/>
        </w:rPr>
        <w:t xml:space="preserve"> </w:t>
      </w:r>
    </w:p>
    <w:p w:rsidR="00C73E3C" w:rsidRPr="000D2415" w:rsidRDefault="00C73E3C" w:rsidP="000D2415">
      <w:pPr>
        <w:ind w:firstLine="567"/>
        <w:jc w:val="center"/>
        <w:rPr>
          <w:b/>
          <w:spacing w:val="-5"/>
          <w:sz w:val="22"/>
          <w:szCs w:val="22"/>
        </w:rPr>
      </w:pPr>
      <w:r w:rsidRPr="000D2415">
        <w:rPr>
          <w:b/>
          <w:sz w:val="22"/>
          <w:szCs w:val="22"/>
        </w:rPr>
        <w:t>ОЦІНКА</w:t>
      </w:r>
      <w:r w:rsidRPr="000D2415">
        <w:rPr>
          <w:b/>
          <w:sz w:val="22"/>
          <w:szCs w:val="22"/>
        </w:rPr>
        <w:t xml:space="preserve"> МАТЕРІАЛЬНИХ РЕСУРСІВ ПІДПРИЄМСТВА</w:t>
      </w:r>
      <w:r w:rsidRPr="000D2415">
        <w:rPr>
          <w:b/>
          <w:sz w:val="22"/>
          <w:szCs w:val="22"/>
        </w:rPr>
        <w:t xml:space="preserve">: </w:t>
      </w:r>
      <w:r w:rsidRPr="000D2415">
        <w:rPr>
          <w:b/>
          <w:sz w:val="22"/>
          <w:szCs w:val="22"/>
        </w:rPr>
        <w:t>ОСОБЛИВОСТІ БАГАТОФАКТОРНОГО</w:t>
      </w:r>
      <w:r w:rsidRPr="000D2415">
        <w:rPr>
          <w:b/>
          <w:sz w:val="22"/>
          <w:szCs w:val="22"/>
        </w:rPr>
        <w:t xml:space="preserve"> АНАЛІЗУ</w:t>
      </w:r>
    </w:p>
    <w:p w:rsidR="00BB68BF" w:rsidRPr="000D2415" w:rsidRDefault="00BB68BF" w:rsidP="000D2415">
      <w:pPr>
        <w:rPr>
          <w:sz w:val="22"/>
          <w:szCs w:val="22"/>
        </w:rPr>
      </w:pPr>
    </w:p>
    <w:p w:rsidR="00C73E3C" w:rsidRPr="000D2415" w:rsidRDefault="00C73E3C" w:rsidP="000D2415">
      <w:pPr>
        <w:rPr>
          <w:sz w:val="22"/>
          <w:szCs w:val="22"/>
        </w:rPr>
      </w:pPr>
    </w:p>
    <w:p w:rsidR="00D23C91" w:rsidRPr="000D2415" w:rsidRDefault="00C73E3C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 xml:space="preserve">Достатня увага в економічній літературі приділена оцінці ефективності використання матеріальних ресурсів (запасів). Проте, загальна методика аналізу не завжди дозволяє синтезувати дослідження і пов’язати їх з основними фінансовими показниками роботи підприємства. Це, в свою чергу, негативно впливає на формування методології та методики  аналізу виробництва продукції (робіт, послуг) та фінансових результатів на промислових підприємствах. Тому, постає об’єктивна необхідність у нових підходах до економічного аналізу ефективності використання матеріальних ресурсів підприємств. </w:t>
      </w:r>
    </w:p>
    <w:p w:rsidR="00C73E3C" w:rsidRPr="000D2415" w:rsidRDefault="00C73E3C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Необхідною умовою виробництва продукції, зниження її собівартості, росту прибутку, рентабельності є забезпеченість підприємства сировиною і матеріалами необхідного асортименту і якості та ефективне їх використання. Існуючу систему показників ефективності матеріальних ресурсів ми пропонуємо доповнити такими показниками: розмір отриманого чистого прибутку, чистої доданої вартості та валової доданої вартості на 1 грн матеріальних ресурсів.</w:t>
      </w:r>
    </w:p>
    <w:p w:rsidR="00D23C91" w:rsidRPr="000D2415" w:rsidRDefault="00C73E3C" w:rsidP="000D2415">
      <w:pPr>
        <w:pStyle w:val="a3"/>
        <w:spacing w:line="240" w:lineRule="auto"/>
        <w:ind w:firstLine="567"/>
        <w:rPr>
          <w:sz w:val="22"/>
          <w:szCs w:val="22"/>
        </w:rPr>
      </w:pPr>
      <w:r w:rsidRPr="000D2415">
        <w:rPr>
          <w:sz w:val="22"/>
          <w:szCs w:val="22"/>
        </w:rPr>
        <w:t xml:space="preserve">При аналізі матеріальних ресурсів потрібно врахувати, до якої галузі належить підприємство. Це зумовлює різний вміст матеріалів і сировини у собівартості продукції, тобто матеріаломісткості продукції. У харчовій промисловості, у т. ч. і в хлібопекарській, частка матеріальних витрат дуже велика. </w:t>
      </w:r>
      <w:r w:rsidR="00D23C91" w:rsidRPr="000D2415">
        <w:rPr>
          <w:sz w:val="22"/>
          <w:szCs w:val="22"/>
        </w:rPr>
        <w:t>Слід також встановити, які технологічні процеси використовують і наскільки вони доск</w:t>
      </w:r>
      <w:r w:rsidR="00D23C91" w:rsidRPr="000D2415">
        <w:rPr>
          <w:sz w:val="22"/>
          <w:szCs w:val="22"/>
        </w:rPr>
        <w:t>о</w:t>
      </w:r>
      <w:r w:rsidR="00D23C91" w:rsidRPr="000D2415">
        <w:rPr>
          <w:sz w:val="22"/>
          <w:szCs w:val="22"/>
        </w:rPr>
        <w:t>налі й сучасні, тобто безвідходні. Сьогодні слід звертати особливу увагу на витрати не тільки с</w:t>
      </w:r>
      <w:r w:rsidR="00D23C91" w:rsidRPr="000D2415">
        <w:rPr>
          <w:sz w:val="22"/>
          <w:szCs w:val="22"/>
        </w:rPr>
        <w:t>и</w:t>
      </w:r>
      <w:r w:rsidR="00D23C91" w:rsidRPr="000D2415">
        <w:rPr>
          <w:sz w:val="22"/>
          <w:szCs w:val="22"/>
        </w:rPr>
        <w:t>ровини і матеріалів, а й на витрати палива та електроенергії у зв’язку із дефіци</w:t>
      </w:r>
      <w:r w:rsidR="00D23C91" w:rsidRPr="000D2415">
        <w:rPr>
          <w:sz w:val="22"/>
          <w:szCs w:val="22"/>
        </w:rPr>
        <w:t>т</w:t>
      </w:r>
      <w:r w:rsidR="00D23C91" w:rsidRPr="000D2415">
        <w:rPr>
          <w:sz w:val="22"/>
          <w:szCs w:val="22"/>
        </w:rPr>
        <w:t>ністю та високою їх вартістю, хоча протягом останнього часу ситуація із вартістю палива дещо стабілізувалася.</w:t>
      </w:r>
    </w:p>
    <w:p w:rsidR="00C73E3C" w:rsidRPr="000D2415" w:rsidRDefault="00C73E3C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За допомогою аналітичного групування підприємств хлібопекарської промисловості Волинської та Рівненської областей встановлен</w:t>
      </w:r>
      <w:r w:rsidR="000D2415">
        <w:rPr>
          <w:sz w:val="22"/>
          <w:szCs w:val="22"/>
        </w:rPr>
        <w:t>о</w:t>
      </w:r>
      <w:r w:rsidRPr="000D2415">
        <w:rPr>
          <w:sz w:val="22"/>
          <w:szCs w:val="22"/>
        </w:rPr>
        <w:t xml:space="preserve"> взаємозв’язок між показниками, що характеризують стан матеріальних ресурсів, та показниками ефективності їх використання, </w:t>
      </w:r>
      <w:r w:rsidRPr="000D2415">
        <w:rPr>
          <w:sz w:val="22"/>
          <w:szCs w:val="22"/>
        </w:rPr>
        <w:lastRenderedPageBreak/>
        <w:t>а також розрахований кількісний вплив кожного з них на результативні показники.</w:t>
      </w:r>
    </w:p>
    <w:p w:rsidR="000D2415" w:rsidRPr="000D2415" w:rsidRDefault="000D2415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Розглянувши окремо вплив основних чинників на ефективність викори</w:t>
      </w:r>
      <w:r w:rsidRPr="000D2415">
        <w:rPr>
          <w:sz w:val="22"/>
          <w:szCs w:val="22"/>
        </w:rPr>
        <w:t>с</w:t>
      </w:r>
      <w:r w:rsidRPr="000D2415">
        <w:rPr>
          <w:sz w:val="22"/>
          <w:szCs w:val="22"/>
        </w:rPr>
        <w:t>тання матеріальних ресурсів, ми узагальнили результати аналізу за допомогою множи</w:t>
      </w:r>
      <w:r w:rsidRPr="000D2415">
        <w:rPr>
          <w:sz w:val="22"/>
          <w:szCs w:val="22"/>
        </w:rPr>
        <w:t>н</w:t>
      </w:r>
      <w:r w:rsidRPr="000D2415">
        <w:rPr>
          <w:sz w:val="22"/>
          <w:szCs w:val="22"/>
        </w:rPr>
        <w:t>ної лінійної регресії з метою визначення спільного впливу факторів на результативний показник. Оскільки основний узагальнюючий показник ефективності використання матеріальних рес</w:t>
      </w:r>
      <w:r>
        <w:rPr>
          <w:sz w:val="22"/>
          <w:szCs w:val="22"/>
        </w:rPr>
        <w:t>урсів – матеріаломісткість</w:t>
      </w:r>
      <w:r w:rsidRPr="000D2415">
        <w:rPr>
          <w:sz w:val="22"/>
          <w:szCs w:val="22"/>
        </w:rPr>
        <w:t>, то при складанні моделі множинної лінійної регресії за резул</w:t>
      </w:r>
      <w:r w:rsidRPr="000D2415">
        <w:rPr>
          <w:sz w:val="22"/>
          <w:szCs w:val="22"/>
        </w:rPr>
        <w:t>ь</w:t>
      </w:r>
      <w:r w:rsidRPr="000D2415">
        <w:rPr>
          <w:sz w:val="22"/>
          <w:szCs w:val="22"/>
        </w:rPr>
        <w:t>тативний показник вибрано матеріальні витрати на 1 грн валової доданої варт</w:t>
      </w:r>
      <w:r w:rsidRPr="000D2415">
        <w:rPr>
          <w:sz w:val="22"/>
          <w:szCs w:val="22"/>
        </w:rPr>
        <w:t>о</w:t>
      </w:r>
      <w:r w:rsidRPr="000D2415">
        <w:rPr>
          <w:sz w:val="22"/>
          <w:szCs w:val="22"/>
        </w:rPr>
        <w:t>сті.</w:t>
      </w:r>
    </w:p>
    <w:p w:rsidR="000D2415" w:rsidRPr="000D2415" w:rsidRDefault="000D2415" w:rsidP="000D241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При складанні моделі множинної лінійної регресії були включені такі фа</w:t>
      </w:r>
      <w:r w:rsidRPr="000D2415">
        <w:rPr>
          <w:sz w:val="22"/>
          <w:szCs w:val="22"/>
        </w:rPr>
        <w:t>к</w:t>
      </w:r>
      <w:r w:rsidRPr="000D2415">
        <w:rPr>
          <w:sz w:val="22"/>
          <w:szCs w:val="22"/>
        </w:rPr>
        <w:t>торні ознаки: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матеріальних витрат у складі собівартості продукції, % (Х</w:t>
      </w:r>
      <w:r w:rsidRPr="000D2415">
        <w:rPr>
          <w:sz w:val="22"/>
          <w:szCs w:val="22"/>
          <w:vertAlign w:val="subscript"/>
        </w:rPr>
        <w:t>1</w:t>
      </w:r>
      <w:r w:rsidRPr="000D2415">
        <w:rPr>
          <w:sz w:val="22"/>
          <w:szCs w:val="22"/>
        </w:rPr>
        <w:t>);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заробітної плати у складі собівартості продукції, % (Х</w:t>
      </w:r>
      <w:r w:rsidRPr="000D2415">
        <w:rPr>
          <w:sz w:val="22"/>
          <w:szCs w:val="22"/>
          <w:vertAlign w:val="subscript"/>
        </w:rPr>
        <w:t>2</w:t>
      </w:r>
      <w:r w:rsidRPr="000D2415">
        <w:rPr>
          <w:sz w:val="22"/>
          <w:szCs w:val="22"/>
        </w:rPr>
        <w:t>);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амортизаційних витрат у складі собівартості продукції, % (Х</w:t>
      </w:r>
      <w:r w:rsidRPr="000D2415">
        <w:rPr>
          <w:sz w:val="22"/>
          <w:szCs w:val="22"/>
          <w:vertAlign w:val="subscript"/>
        </w:rPr>
        <w:t>3</w:t>
      </w:r>
      <w:r w:rsidRPr="000D2415">
        <w:rPr>
          <w:sz w:val="22"/>
          <w:szCs w:val="22"/>
        </w:rPr>
        <w:t>);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витрат на електроенергію у складі матеріальних витрат, % (Х</w:t>
      </w:r>
      <w:r w:rsidRPr="000D2415">
        <w:rPr>
          <w:sz w:val="22"/>
          <w:szCs w:val="22"/>
          <w:vertAlign w:val="subscript"/>
        </w:rPr>
        <w:t>4</w:t>
      </w:r>
      <w:r w:rsidRPr="000D2415">
        <w:rPr>
          <w:sz w:val="22"/>
          <w:szCs w:val="22"/>
        </w:rPr>
        <w:t>);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продукції харчової промисловості у складі матеріальних в</w:t>
      </w:r>
      <w:r w:rsidRPr="000D2415">
        <w:rPr>
          <w:sz w:val="22"/>
          <w:szCs w:val="22"/>
        </w:rPr>
        <w:t>и</w:t>
      </w:r>
      <w:r w:rsidRPr="000D2415">
        <w:rPr>
          <w:sz w:val="22"/>
          <w:szCs w:val="22"/>
        </w:rPr>
        <w:t>трат, % (Х</w:t>
      </w:r>
      <w:r w:rsidRPr="000D2415">
        <w:rPr>
          <w:sz w:val="22"/>
          <w:szCs w:val="22"/>
          <w:vertAlign w:val="subscript"/>
        </w:rPr>
        <w:t>5</w:t>
      </w:r>
      <w:r w:rsidRPr="000D2415">
        <w:rPr>
          <w:sz w:val="22"/>
          <w:szCs w:val="22"/>
        </w:rPr>
        <w:t>);</w:t>
      </w:r>
    </w:p>
    <w:p w:rsidR="000D2415" w:rsidRPr="000D2415" w:rsidRDefault="000D2415" w:rsidP="000D2415">
      <w:pPr>
        <w:numPr>
          <w:ilvl w:val="0"/>
          <w:numId w:val="2"/>
        </w:numPr>
        <w:tabs>
          <w:tab w:val="clear" w:pos="1684"/>
          <w:tab w:val="left" w:pos="851"/>
          <w:tab w:val="left" w:pos="1080"/>
        </w:tabs>
        <w:ind w:left="0"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питома вага витрат всієї енергії у складі матеріальних витрат, % (Х</w:t>
      </w:r>
      <w:r w:rsidRPr="000D2415">
        <w:rPr>
          <w:sz w:val="22"/>
          <w:szCs w:val="22"/>
          <w:vertAlign w:val="subscript"/>
        </w:rPr>
        <w:t>6</w:t>
      </w:r>
      <w:r w:rsidRPr="000D2415">
        <w:rPr>
          <w:sz w:val="22"/>
          <w:szCs w:val="22"/>
        </w:rPr>
        <w:t>).</w:t>
      </w:r>
    </w:p>
    <w:p w:rsidR="000D2415" w:rsidRPr="000D2415" w:rsidRDefault="000D2415" w:rsidP="000D241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У результаті обробки даних отримали таке рівняння множинної лінійної регресії:</w:t>
      </w:r>
    </w:p>
    <w:p w:rsidR="000D2415" w:rsidRDefault="000D2415" w:rsidP="000D2415">
      <w:pPr>
        <w:tabs>
          <w:tab w:val="left" w:pos="851"/>
        </w:tabs>
        <w:jc w:val="both"/>
        <w:rPr>
          <w:sz w:val="22"/>
          <w:szCs w:val="22"/>
        </w:rPr>
      </w:pPr>
    </w:p>
    <w:p w:rsidR="000D2415" w:rsidRPr="000D2415" w:rsidRDefault="000D2415" w:rsidP="000D2415">
      <w:pPr>
        <w:tabs>
          <w:tab w:val="left" w:pos="851"/>
        </w:tabs>
        <w:jc w:val="both"/>
        <w:rPr>
          <w:sz w:val="22"/>
          <w:szCs w:val="22"/>
        </w:rPr>
      </w:pPr>
      <w:r w:rsidRPr="000D2415">
        <w:rPr>
          <w:position w:val="-12"/>
          <w:sz w:val="20"/>
          <w:szCs w:val="22"/>
        </w:rPr>
        <w:object w:dxaOrig="7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8pt" o:ole="">
            <v:imagedata r:id="rId5" o:title=""/>
          </v:shape>
          <o:OLEObject Type="Embed" ProgID="Equation.3" ShapeID="_x0000_i1025" DrawAspect="Content" ObjectID="_1622958789" r:id="rId6"/>
        </w:object>
      </w:r>
      <w:r w:rsidRPr="000D2415">
        <w:rPr>
          <w:sz w:val="22"/>
          <w:szCs w:val="22"/>
        </w:rPr>
        <w:t xml:space="preserve">    (1)</w:t>
      </w:r>
    </w:p>
    <w:p w:rsidR="000D2415" w:rsidRPr="000D2415" w:rsidRDefault="000D2415" w:rsidP="000D241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D2415" w:rsidRPr="000D2415" w:rsidRDefault="000D2415" w:rsidP="000D241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де У</w:t>
      </w:r>
      <w:r w:rsidRPr="000D2415">
        <w:rPr>
          <w:sz w:val="22"/>
          <w:szCs w:val="22"/>
          <w:vertAlign w:val="subscript"/>
        </w:rPr>
        <w:t>25</w:t>
      </w:r>
      <w:r w:rsidRPr="000D2415">
        <w:rPr>
          <w:sz w:val="22"/>
          <w:szCs w:val="22"/>
        </w:rPr>
        <w:t xml:space="preserve"> – матеріальні витрати на 100 грн валової доданої вартості, грн.</w:t>
      </w:r>
    </w:p>
    <w:p w:rsidR="000D2415" w:rsidRPr="000D2415" w:rsidRDefault="000D2415" w:rsidP="000D2415">
      <w:pPr>
        <w:ind w:firstLine="567"/>
        <w:jc w:val="both"/>
        <w:rPr>
          <w:sz w:val="22"/>
          <w:szCs w:val="22"/>
        </w:rPr>
      </w:pPr>
    </w:p>
    <w:p w:rsidR="000D2415" w:rsidRPr="000D2415" w:rsidRDefault="000D2415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Регресійна модель адекватна експериментальним даним. Зв’язок між результативною і факторними ознаками є сильним, прямим, оскільки коефіцієнт мн</w:t>
      </w:r>
      <w:r w:rsidRPr="000D2415">
        <w:rPr>
          <w:sz w:val="22"/>
          <w:szCs w:val="22"/>
        </w:rPr>
        <w:t>о</w:t>
      </w:r>
      <w:r w:rsidRPr="000D2415">
        <w:rPr>
          <w:sz w:val="22"/>
          <w:szCs w:val="22"/>
        </w:rPr>
        <w:t>жинної кореляції становить 0,7357.</w:t>
      </w:r>
    </w:p>
    <w:p w:rsidR="000D2415" w:rsidRPr="000D2415" w:rsidRDefault="000D2415" w:rsidP="000D2415">
      <w:pPr>
        <w:pStyle w:val="a3"/>
        <w:spacing w:line="240" w:lineRule="auto"/>
        <w:ind w:firstLine="567"/>
        <w:rPr>
          <w:sz w:val="22"/>
          <w:szCs w:val="22"/>
        </w:rPr>
      </w:pPr>
      <w:r w:rsidRPr="000D2415">
        <w:rPr>
          <w:sz w:val="22"/>
          <w:szCs w:val="22"/>
        </w:rPr>
        <w:t>Кореляційний аналіз показав, що найсуттєвіший позитивний вплив на еф</w:t>
      </w:r>
      <w:r w:rsidRPr="000D2415">
        <w:rPr>
          <w:sz w:val="22"/>
          <w:szCs w:val="22"/>
        </w:rPr>
        <w:t>е</w:t>
      </w:r>
      <w:r w:rsidRPr="000D2415">
        <w:rPr>
          <w:sz w:val="22"/>
          <w:szCs w:val="22"/>
        </w:rPr>
        <w:t xml:space="preserve">ктивність використання матеріальних ресурсів чинять </w:t>
      </w:r>
      <w:r w:rsidRPr="000D2415">
        <w:rPr>
          <w:sz w:val="22"/>
          <w:szCs w:val="22"/>
        </w:rPr>
        <w:lastRenderedPageBreak/>
        <w:t>витрати на електроене</w:t>
      </w:r>
      <w:r w:rsidRPr="000D2415">
        <w:rPr>
          <w:sz w:val="22"/>
          <w:szCs w:val="22"/>
        </w:rPr>
        <w:t>р</w:t>
      </w:r>
      <w:r w:rsidRPr="000D2415">
        <w:rPr>
          <w:sz w:val="22"/>
          <w:szCs w:val="22"/>
        </w:rPr>
        <w:t>гію у складі матеріальних витрат.</w:t>
      </w:r>
      <w:r>
        <w:rPr>
          <w:sz w:val="22"/>
          <w:szCs w:val="22"/>
        </w:rPr>
        <w:t xml:space="preserve"> Н</w:t>
      </w:r>
      <w:r w:rsidRPr="000D2415">
        <w:rPr>
          <w:sz w:val="22"/>
          <w:szCs w:val="22"/>
        </w:rPr>
        <w:t>а матеріальні витрати на 1 грн валової доданої вартості впливають як позитивні, так і негативні фактори, котрі д</w:t>
      </w:r>
      <w:r w:rsidRPr="000D2415">
        <w:rPr>
          <w:sz w:val="22"/>
          <w:szCs w:val="22"/>
        </w:rPr>
        <w:t>а</w:t>
      </w:r>
      <w:r w:rsidRPr="000D2415">
        <w:rPr>
          <w:sz w:val="22"/>
          <w:szCs w:val="22"/>
        </w:rPr>
        <w:t>ють змогу виявити резерви підвищення ефективності використання не тільки матеріальних витрат, а й виробництва в цілому. До чинників, що позитивно впливають на зниження матеріаломісткості, належать: зниження частки матер</w:t>
      </w:r>
      <w:r w:rsidRPr="000D2415">
        <w:rPr>
          <w:sz w:val="22"/>
          <w:szCs w:val="22"/>
        </w:rPr>
        <w:t>і</w:t>
      </w:r>
      <w:r w:rsidRPr="000D2415">
        <w:rPr>
          <w:sz w:val="22"/>
          <w:szCs w:val="22"/>
        </w:rPr>
        <w:t>альних витрат у складі собівартості продукції; зниження частки електроенергії у складі матеріальних витрат і зниження частки всієї енергії у складі матеріал</w:t>
      </w:r>
      <w:r w:rsidRPr="000D2415">
        <w:rPr>
          <w:sz w:val="22"/>
          <w:szCs w:val="22"/>
        </w:rPr>
        <w:t>ь</w:t>
      </w:r>
      <w:r w:rsidRPr="000D2415">
        <w:rPr>
          <w:sz w:val="22"/>
          <w:szCs w:val="22"/>
        </w:rPr>
        <w:t>них витрат. До негативних факторів належать збільшення частки заробітної плати й амортизаційних відрахувань у складі собівартості продукції і збільшення частки продукції х</w:t>
      </w:r>
      <w:r w:rsidRPr="000D2415">
        <w:rPr>
          <w:sz w:val="22"/>
          <w:szCs w:val="22"/>
        </w:rPr>
        <w:t>а</w:t>
      </w:r>
      <w:r w:rsidRPr="000D2415">
        <w:rPr>
          <w:sz w:val="22"/>
          <w:szCs w:val="22"/>
        </w:rPr>
        <w:t xml:space="preserve">рчової промисловості у складі матеріальних витрат. </w:t>
      </w:r>
    </w:p>
    <w:p w:rsidR="00C73E3C" w:rsidRPr="000D2415" w:rsidRDefault="00C73E3C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>Отже, формування та ефективність використання потенціалу матеріальних ресурсів є значною мірою визначальним фактором при розрахунку ефективності й темпів зростання виробництва. Ресурсозберігаючого характеру цього процесу дотримуються з метою необхідності його ефективності при мінімально необхідному рівні залишків матеріальних ресурсів.</w:t>
      </w:r>
    </w:p>
    <w:p w:rsidR="00C73E3C" w:rsidRPr="000D2415" w:rsidRDefault="00C73E3C" w:rsidP="000D2415">
      <w:pPr>
        <w:ind w:firstLine="567"/>
        <w:jc w:val="both"/>
        <w:rPr>
          <w:sz w:val="22"/>
          <w:szCs w:val="22"/>
        </w:rPr>
      </w:pPr>
      <w:r w:rsidRPr="000D2415">
        <w:rPr>
          <w:sz w:val="22"/>
          <w:szCs w:val="22"/>
        </w:rPr>
        <w:t xml:space="preserve">Дослідження показали, що в сучасній економічній літературі кожен елемент ресурсного потенціалу аналізується окремо і визначається </w:t>
      </w:r>
      <w:proofErr w:type="spellStart"/>
      <w:r w:rsidRPr="000D2415">
        <w:rPr>
          <w:sz w:val="22"/>
          <w:szCs w:val="22"/>
        </w:rPr>
        <w:t>відокремлено</w:t>
      </w:r>
      <w:proofErr w:type="spellEnd"/>
      <w:r w:rsidRPr="000D2415">
        <w:rPr>
          <w:sz w:val="22"/>
          <w:szCs w:val="22"/>
        </w:rPr>
        <w:t xml:space="preserve"> один від одного рівень ефективності їх використання. Тому необхідно вдосконалити методичний підхід до аналізу цих процесів, за допомогою чого встановити комплексний вплив факторів на узагальнюючі результативні показники діяльності підприємства і розрахувати резерви підвищення ефективності використання ресурсного потенціалу, в тому числі матеріальних ресурсів.</w:t>
      </w:r>
    </w:p>
    <w:p w:rsidR="00C73E3C" w:rsidRPr="000D2415" w:rsidRDefault="00C73E3C" w:rsidP="000D2415">
      <w:pPr>
        <w:rPr>
          <w:sz w:val="22"/>
          <w:szCs w:val="22"/>
        </w:rPr>
      </w:pPr>
    </w:p>
    <w:p w:rsidR="00D23C91" w:rsidRPr="000D2415" w:rsidRDefault="00D23C91" w:rsidP="000D24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22"/>
        </w:rPr>
      </w:pPr>
      <w:proofErr w:type="spellStart"/>
      <w:r w:rsidRPr="000D2415">
        <w:rPr>
          <w:sz w:val="18"/>
          <w:szCs w:val="22"/>
        </w:rPr>
        <w:t>Довбенко</w:t>
      </w:r>
      <w:proofErr w:type="spellEnd"/>
      <w:r w:rsidRPr="000D2415">
        <w:rPr>
          <w:sz w:val="18"/>
          <w:szCs w:val="22"/>
        </w:rPr>
        <w:t xml:space="preserve"> В.І., Мельник В.М. Потенціал і розвиток підприємства [Текст] // Львів: Вид-во </w:t>
      </w:r>
      <w:proofErr w:type="spellStart"/>
      <w:r w:rsidRPr="000D2415">
        <w:rPr>
          <w:sz w:val="18"/>
          <w:szCs w:val="22"/>
        </w:rPr>
        <w:t>Нац</w:t>
      </w:r>
      <w:proofErr w:type="spellEnd"/>
      <w:r w:rsidRPr="000D2415">
        <w:rPr>
          <w:sz w:val="18"/>
          <w:szCs w:val="22"/>
        </w:rPr>
        <w:t xml:space="preserve">. ун-ту "Львівська політехніка", 2010. -232с. </w:t>
      </w:r>
    </w:p>
    <w:p w:rsidR="00D23C91" w:rsidRPr="000D2415" w:rsidRDefault="00D23C91" w:rsidP="000D24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22"/>
        </w:rPr>
      </w:pPr>
      <w:bookmarkStart w:id="0" w:name="_GoBack"/>
      <w:bookmarkEnd w:id="0"/>
      <w:proofErr w:type="spellStart"/>
      <w:r w:rsidRPr="000D2415">
        <w:rPr>
          <w:sz w:val="18"/>
          <w:szCs w:val="22"/>
        </w:rPr>
        <w:t>Краснокутська</w:t>
      </w:r>
      <w:proofErr w:type="spellEnd"/>
      <w:r w:rsidRPr="000D2415">
        <w:rPr>
          <w:sz w:val="18"/>
          <w:szCs w:val="22"/>
        </w:rPr>
        <w:t xml:space="preserve"> Н. С. Потенціал підприємства як об’єкт управління в перебігу еволюції теорії стратегічного управління / Н. С. </w:t>
      </w:r>
      <w:proofErr w:type="spellStart"/>
      <w:r w:rsidRPr="000D2415">
        <w:rPr>
          <w:sz w:val="18"/>
          <w:szCs w:val="22"/>
        </w:rPr>
        <w:t>Краснокутська</w:t>
      </w:r>
      <w:proofErr w:type="spellEnd"/>
      <w:r w:rsidRPr="000D2415">
        <w:rPr>
          <w:sz w:val="18"/>
          <w:szCs w:val="22"/>
        </w:rPr>
        <w:t xml:space="preserve"> // </w:t>
      </w:r>
      <w:proofErr w:type="spellStart"/>
      <w:r w:rsidRPr="000D2415">
        <w:rPr>
          <w:sz w:val="18"/>
          <w:szCs w:val="22"/>
        </w:rPr>
        <w:t>Вісн</w:t>
      </w:r>
      <w:proofErr w:type="spellEnd"/>
      <w:r w:rsidRPr="000D2415">
        <w:rPr>
          <w:sz w:val="18"/>
          <w:szCs w:val="22"/>
        </w:rPr>
        <w:t xml:space="preserve">. Сум. </w:t>
      </w:r>
      <w:proofErr w:type="spellStart"/>
      <w:r w:rsidRPr="000D2415">
        <w:rPr>
          <w:sz w:val="18"/>
          <w:szCs w:val="22"/>
        </w:rPr>
        <w:t>держ</w:t>
      </w:r>
      <w:proofErr w:type="spellEnd"/>
      <w:r w:rsidRPr="000D2415">
        <w:rPr>
          <w:sz w:val="18"/>
          <w:szCs w:val="22"/>
        </w:rPr>
        <w:t>. ун-ту. Сер. Економіка. – 2009. - № 1. – С. 169-177</w:t>
      </w:r>
    </w:p>
    <w:p w:rsidR="00D23C91" w:rsidRPr="000D2415" w:rsidRDefault="00D23C91" w:rsidP="000D24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22"/>
        </w:rPr>
      </w:pPr>
      <w:r w:rsidRPr="000D2415">
        <w:rPr>
          <w:bCs/>
          <w:iCs/>
          <w:sz w:val="18"/>
          <w:szCs w:val="22"/>
        </w:rPr>
        <w:t xml:space="preserve">Кузьмін О.Є. </w:t>
      </w:r>
      <w:r w:rsidRPr="000D2415">
        <w:rPr>
          <w:bCs/>
          <w:sz w:val="18"/>
          <w:szCs w:val="22"/>
        </w:rPr>
        <w:t>Діагностика потенціалу підприємства /</w:t>
      </w:r>
      <w:r w:rsidRPr="000D2415">
        <w:rPr>
          <w:bCs/>
          <w:iCs/>
          <w:sz w:val="18"/>
          <w:szCs w:val="22"/>
        </w:rPr>
        <w:t>О.Є. Кузьмін, О.Г. Мельник//</w:t>
      </w:r>
      <w:r w:rsidRPr="000D2415">
        <w:rPr>
          <w:bCs/>
          <w:sz w:val="18"/>
          <w:szCs w:val="22"/>
        </w:rPr>
        <w:t xml:space="preserve">Маркетинг і менеджмент інновацій, 2011, № 1 С. 155-166 </w:t>
      </w:r>
    </w:p>
    <w:p w:rsidR="00D23C91" w:rsidRPr="000D2415" w:rsidRDefault="00D23C91" w:rsidP="000D24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22"/>
        </w:rPr>
      </w:pPr>
      <w:r w:rsidRPr="000D2415">
        <w:rPr>
          <w:sz w:val="18"/>
          <w:szCs w:val="22"/>
        </w:rPr>
        <w:t xml:space="preserve">Тарасюк Г. М. Потенціал підприємств харчової промисловості Житомирської області: основні тенденції та планування розвитку : монографія / Г. М. Тарасюк ; Житомир. </w:t>
      </w:r>
      <w:proofErr w:type="spellStart"/>
      <w:r w:rsidRPr="000D2415">
        <w:rPr>
          <w:sz w:val="18"/>
          <w:szCs w:val="22"/>
        </w:rPr>
        <w:t>держ</w:t>
      </w:r>
      <w:proofErr w:type="spellEnd"/>
      <w:r w:rsidRPr="000D2415">
        <w:rPr>
          <w:sz w:val="18"/>
          <w:szCs w:val="22"/>
        </w:rPr>
        <w:t xml:space="preserve">. </w:t>
      </w:r>
      <w:proofErr w:type="spellStart"/>
      <w:r w:rsidRPr="000D2415">
        <w:rPr>
          <w:sz w:val="18"/>
          <w:szCs w:val="22"/>
        </w:rPr>
        <w:t>технол</w:t>
      </w:r>
      <w:proofErr w:type="spellEnd"/>
      <w:r w:rsidRPr="000D2415">
        <w:rPr>
          <w:sz w:val="18"/>
          <w:szCs w:val="22"/>
        </w:rPr>
        <w:t xml:space="preserve">. ун-т. – Житомир, 2008. – 277 с. </w:t>
      </w:r>
    </w:p>
    <w:p w:rsidR="00D23C91" w:rsidRPr="000D2415" w:rsidRDefault="00D23C91" w:rsidP="000D24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22"/>
        </w:rPr>
      </w:pPr>
      <w:proofErr w:type="spellStart"/>
      <w:r w:rsidRPr="000D2415">
        <w:rPr>
          <w:sz w:val="18"/>
          <w:szCs w:val="22"/>
        </w:rPr>
        <w:t>Шелегеда</w:t>
      </w:r>
      <w:proofErr w:type="spellEnd"/>
      <w:r w:rsidRPr="000D2415">
        <w:rPr>
          <w:sz w:val="18"/>
          <w:szCs w:val="22"/>
        </w:rPr>
        <w:t xml:space="preserve"> Б. Г. Стратегічне управління потенціалом підприємства: [Монографія] / Б. Г. </w:t>
      </w:r>
      <w:proofErr w:type="spellStart"/>
      <w:r w:rsidRPr="000D2415">
        <w:rPr>
          <w:sz w:val="18"/>
          <w:szCs w:val="22"/>
        </w:rPr>
        <w:t>Шелегеда</w:t>
      </w:r>
      <w:proofErr w:type="spellEnd"/>
      <w:r w:rsidRPr="000D2415">
        <w:rPr>
          <w:sz w:val="18"/>
          <w:szCs w:val="22"/>
        </w:rPr>
        <w:t xml:space="preserve">, Н.В. Касянова, А.Я. </w:t>
      </w:r>
      <w:proofErr w:type="spellStart"/>
      <w:r w:rsidRPr="000D2415">
        <w:rPr>
          <w:sz w:val="18"/>
          <w:szCs w:val="22"/>
        </w:rPr>
        <w:t>Берсуцький</w:t>
      </w:r>
      <w:proofErr w:type="spellEnd"/>
      <w:r w:rsidRPr="000D2415">
        <w:rPr>
          <w:sz w:val="18"/>
          <w:szCs w:val="22"/>
        </w:rPr>
        <w:t xml:space="preserve"> //НАН України. Ін-т економіки </w:t>
      </w:r>
      <w:proofErr w:type="spellStart"/>
      <w:r w:rsidRPr="000D2415">
        <w:rPr>
          <w:sz w:val="18"/>
          <w:szCs w:val="22"/>
        </w:rPr>
        <w:t>пром</w:t>
      </w:r>
      <w:proofErr w:type="spellEnd"/>
      <w:r w:rsidRPr="000D2415">
        <w:rPr>
          <w:sz w:val="18"/>
          <w:szCs w:val="22"/>
        </w:rPr>
        <w:t xml:space="preserve">-ті / Донецьк: </w:t>
      </w:r>
      <w:proofErr w:type="spellStart"/>
      <w:r w:rsidRPr="000D2415">
        <w:rPr>
          <w:sz w:val="18"/>
          <w:szCs w:val="22"/>
        </w:rPr>
        <w:t>ДонУЕП</w:t>
      </w:r>
      <w:proofErr w:type="spellEnd"/>
      <w:r w:rsidRPr="000D2415">
        <w:rPr>
          <w:sz w:val="18"/>
          <w:szCs w:val="22"/>
        </w:rPr>
        <w:t xml:space="preserve">, 2009. - 219с. </w:t>
      </w:r>
    </w:p>
    <w:p w:rsidR="00D23C91" w:rsidRPr="000D2415" w:rsidRDefault="00D23C91" w:rsidP="000D2415">
      <w:pPr>
        <w:rPr>
          <w:sz w:val="22"/>
          <w:szCs w:val="22"/>
        </w:rPr>
      </w:pPr>
    </w:p>
    <w:sectPr w:rsidR="00D23C91" w:rsidRPr="000D2415" w:rsidSect="00D23C91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D6F"/>
    <w:multiLevelType w:val="hybridMultilevel"/>
    <w:tmpl w:val="39422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52655"/>
    <w:multiLevelType w:val="hybridMultilevel"/>
    <w:tmpl w:val="BFE2F562"/>
    <w:lvl w:ilvl="0" w:tplc="FCEEFB3C">
      <w:start w:val="2"/>
      <w:numFmt w:val="bullet"/>
      <w:lvlText w:val="–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C"/>
    <w:rsid w:val="000D2415"/>
    <w:rsid w:val="00BB68BF"/>
    <w:rsid w:val="00C73902"/>
    <w:rsid w:val="00C73E3C"/>
    <w:rsid w:val="00D23C91"/>
    <w:rsid w:val="00E30E88"/>
    <w:rsid w:val="00E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3B64-4E36-4CB9-BE4E-17CDBAF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C91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D23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D241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0D2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2019-06-25T05:49:00Z</dcterms:created>
  <dcterms:modified xsi:type="dcterms:W3CDTF">2019-06-25T06:07:00Z</dcterms:modified>
</cp:coreProperties>
</file>